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b/>
          <w:color w:val="00B050"/>
          <w:sz w:val="24"/>
          <w:szCs w:val="24"/>
        </w:rPr>
      </w:pPr>
    </w:p>
    <w:p>
      <w:pPr>
        <w:jc w:val="center"/>
        <w:rPr>
          <w:rFonts w:hint="eastAsia" w:ascii="微软雅黑" w:hAnsi="微软雅黑" w:eastAsia="微软雅黑"/>
          <w:b/>
          <w:color w:val="00B050"/>
          <w:sz w:val="24"/>
          <w:szCs w:val="24"/>
        </w:rPr>
      </w:pPr>
      <w:r>
        <w:rPr>
          <w:rFonts w:hint="eastAsia" w:ascii="微软雅黑" w:hAnsi="微软雅黑" w:eastAsia="微软雅黑"/>
          <w:b/>
          <w:color w:val="00B050"/>
          <w:sz w:val="24"/>
          <w:szCs w:val="24"/>
        </w:rPr>
        <w:t>玉米DDGS中霉菌毒素的污染及快速定量检测方法</w:t>
      </w:r>
    </w:p>
    <w:p>
      <w:pPr>
        <w:jc w:val="center"/>
        <w:rPr>
          <w:rFonts w:hint="eastAsia" w:ascii="微软雅黑" w:hAnsi="微软雅黑" w:eastAsia="微软雅黑" w:cs="微软雅黑"/>
          <w:sz w:val="21"/>
          <w:szCs w:val="21"/>
        </w:rPr>
      </w:pPr>
      <w:r>
        <w:rPr>
          <w:rFonts w:hint="eastAsia" w:ascii="微软雅黑" w:hAnsi="微软雅黑" w:eastAsia="微软雅黑"/>
          <w:b/>
          <w:color w:val="00B050"/>
          <w:sz w:val="24"/>
          <w:szCs w:val="24"/>
          <w:lang w:val="en-US" w:eastAsia="zh-CN"/>
        </w:rPr>
        <w:t xml:space="preserve">             </w:t>
      </w:r>
      <w:r>
        <w:rPr>
          <w:rStyle w:val="3"/>
          <w:rFonts w:hint="eastAsia" w:ascii="微软雅黑" w:hAnsi="微软雅黑" w:eastAsia="微软雅黑" w:cs="微软雅黑"/>
          <w:i w:val="0"/>
          <w:caps w:val="0"/>
          <w:color w:val="FF0000"/>
          <w:spacing w:val="0"/>
          <w:sz w:val="24"/>
          <w:szCs w:val="24"/>
        </w:rPr>
        <w:t>--8min准确定量，国粮局权威验证</w:t>
      </w:r>
    </w:p>
    <w:p>
      <w:pPr>
        <w:rPr>
          <w:rFonts w:hint="eastAsia" w:ascii="微软雅黑" w:hAnsi="微软雅黑" w:eastAsia="微软雅黑" w:cs="微软雅黑"/>
          <w:sz w:val="18"/>
          <w:szCs w:val="18"/>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color w:val="00B050"/>
          <w:sz w:val="18"/>
          <w:szCs w:val="18"/>
        </w:rPr>
      </w:pPr>
      <w:r>
        <w:rPr>
          <w:rFonts w:hint="eastAsia" w:ascii="微软雅黑" w:hAnsi="微软雅黑" w:eastAsia="微软雅黑"/>
          <w:b/>
          <w:color w:val="00B050"/>
          <w:sz w:val="18"/>
          <w:szCs w:val="18"/>
        </w:rPr>
        <w:t>玉米DDGS</w:t>
      </w:r>
      <w:r>
        <w:rPr>
          <w:rFonts w:hint="eastAsia" w:ascii="微软雅黑" w:hAnsi="微软雅黑" w:eastAsia="微软雅黑"/>
          <w:b/>
          <w:color w:val="00B050"/>
          <w:sz w:val="18"/>
          <w:szCs w:val="18"/>
          <w:lang w:val="en-US" w:eastAsia="zh-CN"/>
        </w:rPr>
        <w:t>简介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玉米酒精糟又称玉米DDGS(Distillers Dried Grains with Soluble)，主要是指在现代化技术和设备的条件下，燃料乙醇工厂用玉米籽实与精选酵母、酶等混合发酵生产乙醇和二氧化碳后，剩余的发酵残留物经低温干燥形成的共生产品。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另一类玉米酒糟蛋白饲料为DDG（Distillers Dried Grains），是将玉米酒精糟作简单过滤，滤渣干燥，滤清液排放掉，只对滤渣单独干燥而获得的饲料。前者的能量和营养物质总量均明显高于后者。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微软雅黑" w:hAnsi="微软雅黑" w:eastAsia="微软雅黑" w:cstheme="minorBidi"/>
          <w:b/>
          <w:color w:val="00B050"/>
          <w:kern w:val="2"/>
          <w:sz w:val="18"/>
          <w:szCs w:val="18"/>
          <w:lang w:val="en-US" w:eastAsia="zh-CN" w:bidi="ar-SA"/>
        </w:rPr>
      </w:pPr>
      <w:r>
        <w:rPr>
          <w:rFonts w:hint="eastAsia" w:ascii="微软雅黑" w:hAnsi="微软雅黑" w:eastAsia="微软雅黑" w:cstheme="minorBidi"/>
          <w:b/>
          <w:color w:val="00B050"/>
          <w:kern w:val="2"/>
          <w:sz w:val="18"/>
          <w:szCs w:val="18"/>
          <w:lang w:val="en-US" w:eastAsia="zh-CN" w:bidi="ar-SA"/>
        </w:rPr>
        <w:t>动物饲料中霉菌毒素国家残留限量标准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drawing>
          <wp:inline distT="0" distB="0" distL="114300" distR="114300">
            <wp:extent cx="5178425" cy="5157470"/>
            <wp:effectExtent l="0" t="0" r="3175" b="5080"/>
            <wp:docPr id="2" name="图片 2" descr="饲料限量标准（表格）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饲料限量标准（表格）_1"/>
                    <pic:cNvPicPr>
                      <a:picLocks noChangeAspect="1"/>
                    </pic:cNvPicPr>
                  </pic:nvPicPr>
                  <pic:blipFill>
                    <a:blip r:embed="rId4"/>
                    <a:stretch>
                      <a:fillRect/>
                    </a:stretch>
                  </pic:blipFill>
                  <pic:spPr>
                    <a:xfrm>
                      <a:off x="0" y="0"/>
                      <a:ext cx="5178425" cy="5157470"/>
                    </a:xfrm>
                    <a:prstGeom prst="rect">
                      <a:avLst/>
                    </a:prstGeom>
                  </pic:spPr>
                </pic:pic>
              </a:graphicData>
            </a:graphic>
          </wp:inline>
        </w:drawing>
      </w:r>
    </w:p>
    <w:p>
      <w:pPr>
        <w:pStyle w:val="7"/>
        <w:numPr>
          <w:ilvl w:val="0"/>
          <w:numId w:val="1"/>
        </w:numPr>
        <w:spacing w:line="360" w:lineRule="auto"/>
        <w:ind w:left="0" w:leftChars="0" w:firstLine="420" w:firstLineChars="0"/>
        <w:rPr>
          <w:rFonts w:hint="eastAsia" w:ascii="微软雅黑" w:hAnsi="微软雅黑" w:eastAsia="微软雅黑" w:cstheme="minorBidi"/>
          <w:b/>
          <w:color w:val="00B050"/>
          <w:kern w:val="2"/>
          <w:sz w:val="18"/>
          <w:szCs w:val="18"/>
          <w:lang w:val="en-US" w:eastAsia="zh-CN" w:bidi="ar-SA"/>
        </w:rPr>
      </w:pPr>
      <w:r>
        <w:rPr>
          <w:rFonts w:hint="eastAsia" w:ascii="微软雅黑" w:hAnsi="微软雅黑" w:eastAsia="微软雅黑" w:cstheme="minorBidi"/>
          <w:b/>
          <w:color w:val="00B050"/>
          <w:kern w:val="2"/>
          <w:sz w:val="18"/>
          <w:szCs w:val="18"/>
          <w:lang w:val="en-US" w:eastAsia="zh-CN" w:bidi="ar-SA"/>
        </w:rPr>
        <w:t>玉米DDGS的营养价值及应用</w:t>
      </w:r>
    </w:p>
    <w:p>
      <w:pPr>
        <w:keepNext w:val="0"/>
        <w:keepLines w:val="0"/>
        <w:widowControl/>
        <w:suppressLineNumbers w:val="0"/>
        <w:shd w:val="clear" w:fill="FFFFFF"/>
        <w:spacing w:after="225" w:afterAutospacing="0" w:line="360" w:lineRule="atLeast"/>
        <w:ind w:left="0" w:firstLine="420"/>
        <w:jc w:val="left"/>
        <w:rPr>
          <w:rFonts w:hint="eastAsia" w:ascii="微软雅黑" w:hAnsi="微软雅黑" w:eastAsia="微软雅黑" w:cs="微软雅黑"/>
          <w:b/>
          <w:bCs/>
          <w:color w:val="00B050"/>
          <w:sz w:val="18"/>
          <w:szCs w:val="18"/>
        </w:rPr>
      </w:pPr>
      <w:r>
        <w:rPr>
          <w:rFonts w:hint="eastAsia" w:ascii="微软雅黑" w:hAnsi="微软雅黑" w:eastAsia="微软雅黑" w:cs="微软雅黑"/>
          <w:b/>
          <w:bCs/>
          <w:color w:val="00B050"/>
          <w:sz w:val="18"/>
          <w:szCs w:val="18"/>
        </w:rPr>
        <w:t xml:space="preserve">1.1 </w:t>
      </w:r>
      <w:r>
        <w:rPr>
          <w:rFonts w:hint="default" w:ascii="微软雅黑" w:hAnsi="微软雅黑" w:eastAsia="微软雅黑" w:cs="微软雅黑"/>
          <w:b/>
          <w:bCs/>
          <w:color w:val="00B050"/>
          <w:sz w:val="18"/>
          <w:szCs w:val="18"/>
          <w:lang w:val="en-US" w:eastAsia="zh-CN"/>
        </w:rPr>
        <w:t>玉米DDGS饲料对不同畜禽的营养价值</w:t>
      </w:r>
      <w:r>
        <w:rPr>
          <w:rFonts w:hint="eastAsia" w:ascii="微软雅黑" w:hAnsi="微软雅黑" w:eastAsia="微软雅黑" w:cs="微软雅黑"/>
          <w:b/>
          <w:bCs/>
          <w:color w:val="00B050"/>
          <w:sz w:val="18"/>
          <w:szCs w:val="1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由于</w:t>
      </w:r>
      <w:r>
        <w:rPr>
          <w:rFonts w:hint="eastAsia" w:ascii="微软雅黑" w:hAnsi="微软雅黑" w:eastAsia="微软雅黑" w:cs="微软雅黑"/>
          <w:sz w:val="18"/>
          <w:szCs w:val="18"/>
        </w:rPr>
        <w:t>DDGS的蛋白质含量在26％以上，已成为国内外饲料生产企业广泛应用的一种新型蛋白饲料原料，在畜禽及水产配合饲料中通常用来替代豆粕、鱼粉，添加比例最高可达30％，并且可以直接饲喂反刍动物。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玉米DDGS不仅具有高蛋白、高有效磷、低植酸磷和高维生素含量的特点，而且还包含玉米发酵过程中融入的糖化曲和酵母的营养成分及其活性因子，被认为是一种高蛋白、高营养、无任何抗营养因子的优质蛋白质饲料原料。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b/>
          <w:bCs/>
          <w:color w:val="00B050"/>
          <w:sz w:val="18"/>
          <w:szCs w:val="18"/>
        </w:rPr>
      </w:pPr>
      <w:r>
        <w:rPr>
          <w:rFonts w:hint="eastAsia" w:ascii="微软雅黑" w:hAnsi="微软雅黑" w:eastAsia="微软雅黑" w:cs="微软雅黑"/>
          <w:b/>
          <w:bCs/>
          <w:color w:val="00B050"/>
          <w:sz w:val="18"/>
          <w:szCs w:val="18"/>
          <w:lang w:val="en-US" w:eastAsia="zh-CN"/>
        </w:rPr>
        <w:t>1.2</w:t>
      </w:r>
      <w:r>
        <w:rPr>
          <w:rFonts w:hint="default" w:ascii="微软雅黑" w:hAnsi="微软雅黑" w:eastAsia="微软雅黑" w:cs="微软雅黑"/>
          <w:b/>
          <w:bCs/>
          <w:color w:val="00B050"/>
          <w:sz w:val="18"/>
          <w:szCs w:val="18"/>
          <w:lang w:val="en-US" w:eastAsia="zh-CN"/>
        </w:rPr>
        <w:t>家禽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DDGS是</w:t>
      </w:r>
      <w:r>
        <w:rPr>
          <w:rFonts w:hint="default" w:ascii="微软雅黑" w:hAnsi="微软雅黑" w:eastAsia="微软雅黑" w:cs="微软雅黑"/>
          <w:sz w:val="18"/>
          <w:szCs w:val="18"/>
          <w:lang w:val="en-US" w:eastAsia="zh-CN"/>
        </w:rPr>
        <w:fldChar w:fldCharType="begin"/>
      </w:r>
      <w:r>
        <w:rPr>
          <w:rFonts w:hint="default" w:ascii="微软雅黑" w:hAnsi="微软雅黑" w:eastAsia="微软雅黑" w:cs="微软雅黑"/>
          <w:sz w:val="18"/>
          <w:szCs w:val="18"/>
          <w:lang w:val="en-US" w:eastAsia="zh-CN"/>
        </w:rPr>
        <w:instrText xml:space="preserve"> HYPERLINK "https://baike.baidu.com/item/%E5%BF%85%E9%9C%80%E8%84%82%E8%82%AA%E9%85%B8" \t "https://baike.baidu.com/item/DDGS%E9%A5%B2%E6%96%99/_blank" </w:instrText>
      </w:r>
      <w:r>
        <w:rPr>
          <w:rFonts w:hint="default" w:ascii="微软雅黑" w:hAnsi="微软雅黑" w:eastAsia="微软雅黑" w:cs="微软雅黑"/>
          <w:sz w:val="18"/>
          <w:szCs w:val="18"/>
          <w:lang w:val="en-US" w:eastAsia="zh-CN"/>
        </w:rPr>
        <w:fldChar w:fldCharType="separate"/>
      </w:r>
      <w:r>
        <w:rPr>
          <w:rFonts w:hint="default" w:ascii="微软雅黑" w:hAnsi="微软雅黑" w:eastAsia="微软雅黑" w:cs="微软雅黑"/>
          <w:sz w:val="18"/>
          <w:szCs w:val="18"/>
        </w:rPr>
        <w:t>必需脂肪酸</w:t>
      </w:r>
      <w:r>
        <w:rPr>
          <w:rFonts w:hint="default" w:ascii="微软雅黑" w:hAnsi="微软雅黑" w:eastAsia="微软雅黑" w:cs="微软雅黑"/>
          <w:sz w:val="18"/>
          <w:szCs w:val="18"/>
          <w:lang w:val="en-US" w:eastAsia="zh-CN"/>
        </w:rPr>
        <w:fldChar w:fldCharType="end"/>
      </w:r>
      <w:r>
        <w:rPr>
          <w:rFonts w:hint="default"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fldChar w:fldCharType="begin"/>
      </w:r>
      <w:r>
        <w:rPr>
          <w:rFonts w:hint="default" w:ascii="微软雅黑" w:hAnsi="微软雅黑" w:eastAsia="微软雅黑" w:cs="微软雅黑"/>
          <w:sz w:val="18"/>
          <w:szCs w:val="18"/>
          <w:lang w:val="en-US" w:eastAsia="zh-CN"/>
        </w:rPr>
        <w:instrText xml:space="preserve"> HYPERLINK "https://baike.baidu.com/item/%E4%BA%9A%E6%B2%B9%E9%85%B8" \t "https://baike.baidu.com/item/DDGS%E9%A5%B2%E6%96%99/_blank" </w:instrText>
      </w:r>
      <w:r>
        <w:rPr>
          <w:rFonts w:hint="default" w:ascii="微软雅黑" w:hAnsi="微软雅黑" w:eastAsia="微软雅黑" w:cs="微软雅黑"/>
          <w:sz w:val="18"/>
          <w:szCs w:val="18"/>
          <w:lang w:val="en-US" w:eastAsia="zh-CN"/>
        </w:rPr>
        <w:fldChar w:fldCharType="separate"/>
      </w:r>
      <w:r>
        <w:rPr>
          <w:rFonts w:hint="default" w:ascii="微软雅黑" w:hAnsi="微软雅黑" w:eastAsia="微软雅黑" w:cs="微软雅黑"/>
          <w:sz w:val="18"/>
          <w:szCs w:val="18"/>
        </w:rPr>
        <w:t>亚油酸</w:t>
      </w:r>
      <w:r>
        <w:rPr>
          <w:rFonts w:hint="default" w:ascii="微软雅黑" w:hAnsi="微软雅黑" w:eastAsia="微软雅黑" w:cs="微软雅黑"/>
          <w:sz w:val="18"/>
          <w:szCs w:val="18"/>
          <w:lang w:val="en-US" w:eastAsia="zh-CN"/>
        </w:rPr>
        <w:fldChar w:fldCharType="end"/>
      </w:r>
      <w:r>
        <w:rPr>
          <w:rFonts w:hint="default" w:ascii="微软雅黑" w:hAnsi="微软雅黑" w:eastAsia="微软雅黑" w:cs="微软雅黑"/>
          <w:sz w:val="18"/>
          <w:szCs w:val="18"/>
          <w:lang w:val="en-US" w:eastAsia="zh-CN"/>
        </w:rPr>
        <w:t>的优秀来源，与其他饲料配合，成为种鸡和产蛋鸡的饲料。DDGS缺乏赖氨酸，但对于家禽第一</w:t>
      </w:r>
      <w:r>
        <w:rPr>
          <w:rFonts w:hint="default" w:ascii="微软雅黑" w:hAnsi="微软雅黑" w:eastAsia="微软雅黑" w:cs="微软雅黑"/>
          <w:sz w:val="18"/>
          <w:szCs w:val="18"/>
          <w:lang w:val="en-US" w:eastAsia="zh-CN"/>
        </w:rPr>
        <w:fldChar w:fldCharType="begin"/>
      </w:r>
      <w:r>
        <w:rPr>
          <w:rFonts w:hint="default" w:ascii="微软雅黑" w:hAnsi="微软雅黑" w:eastAsia="微软雅黑" w:cs="微软雅黑"/>
          <w:sz w:val="18"/>
          <w:szCs w:val="18"/>
          <w:lang w:val="en-US" w:eastAsia="zh-CN"/>
        </w:rPr>
        <w:instrText xml:space="preserve"> HYPERLINK "https://baike.baidu.com/item/%E9%99%90%E5%88%B6%E6%80%A7%E6%B0%A8%E5%9F%BA%E9%85%B8" \t "https://baike.baidu.com/item/DDGS%E9%A5%B2%E6%96%99/_blank" </w:instrText>
      </w:r>
      <w:r>
        <w:rPr>
          <w:rFonts w:hint="default" w:ascii="微软雅黑" w:hAnsi="微软雅黑" w:eastAsia="微软雅黑" w:cs="微软雅黑"/>
          <w:sz w:val="18"/>
          <w:szCs w:val="18"/>
          <w:lang w:val="en-US" w:eastAsia="zh-CN"/>
        </w:rPr>
        <w:fldChar w:fldCharType="separate"/>
      </w:r>
      <w:r>
        <w:rPr>
          <w:rFonts w:hint="default" w:ascii="微软雅黑" w:hAnsi="微软雅黑" w:eastAsia="微软雅黑" w:cs="微软雅黑"/>
          <w:sz w:val="18"/>
          <w:szCs w:val="18"/>
        </w:rPr>
        <w:t>限制性氨基酸</w:t>
      </w:r>
      <w:r>
        <w:rPr>
          <w:rFonts w:hint="default" w:ascii="微软雅黑" w:hAnsi="微软雅黑" w:eastAsia="微软雅黑" w:cs="微软雅黑"/>
          <w:sz w:val="18"/>
          <w:szCs w:val="18"/>
          <w:lang w:val="en-US" w:eastAsia="zh-CN"/>
        </w:rPr>
        <w:fldChar w:fldCharType="end"/>
      </w:r>
      <w:r>
        <w:rPr>
          <w:rFonts w:hint="default" w:ascii="微软雅黑" w:hAnsi="微软雅黑" w:eastAsia="微软雅黑" w:cs="微软雅黑"/>
          <w:sz w:val="18"/>
          <w:szCs w:val="18"/>
          <w:lang w:val="en-US" w:eastAsia="zh-CN"/>
        </w:rPr>
        <w:t>是用于生长羽毛的</w:t>
      </w:r>
      <w:r>
        <w:rPr>
          <w:rFonts w:hint="default" w:ascii="微软雅黑" w:hAnsi="微软雅黑" w:eastAsia="微软雅黑" w:cs="微软雅黑"/>
          <w:sz w:val="18"/>
          <w:szCs w:val="18"/>
          <w:lang w:val="en-US" w:eastAsia="zh-CN"/>
        </w:rPr>
        <w:fldChar w:fldCharType="begin"/>
      </w:r>
      <w:r>
        <w:rPr>
          <w:rFonts w:hint="default" w:ascii="微软雅黑" w:hAnsi="微软雅黑" w:eastAsia="微软雅黑" w:cs="微软雅黑"/>
          <w:sz w:val="18"/>
          <w:szCs w:val="18"/>
          <w:lang w:val="en-US" w:eastAsia="zh-CN"/>
        </w:rPr>
        <w:instrText xml:space="preserve"> HYPERLINK "https://baike.baidu.com/item/%E8%9B%8B%E6%B0%A8%E9%85%B8" \t "https://baike.baidu.com/item/DDGS%E9%A5%B2%E6%96%99/_blank" </w:instrText>
      </w:r>
      <w:r>
        <w:rPr>
          <w:rFonts w:hint="default" w:ascii="微软雅黑" w:hAnsi="微软雅黑" w:eastAsia="微软雅黑" w:cs="微软雅黑"/>
          <w:sz w:val="18"/>
          <w:szCs w:val="18"/>
          <w:lang w:val="en-US" w:eastAsia="zh-CN"/>
        </w:rPr>
        <w:fldChar w:fldCharType="separate"/>
      </w:r>
      <w:r>
        <w:rPr>
          <w:rFonts w:hint="default" w:ascii="微软雅黑" w:hAnsi="微软雅黑" w:eastAsia="微软雅黑" w:cs="微软雅黑"/>
          <w:sz w:val="18"/>
          <w:szCs w:val="18"/>
        </w:rPr>
        <w:t>蛋氨酸</w:t>
      </w:r>
      <w:r>
        <w:rPr>
          <w:rFonts w:hint="default" w:ascii="微软雅黑" w:hAnsi="微软雅黑" w:eastAsia="微软雅黑" w:cs="微软雅黑"/>
          <w:sz w:val="18"/>
          <w:szCs w:val="18"/>
          <w:lang w:val="en-US" w:eastAsia="zh-CN"/>
        </w:rPr>
        <w:fldChar w:fldCharType="end"/>
      </w:r>
      <w:r>
        <w:rPr>
          <w:rFonts w:hint="default" w:ascii="微软雅黑" w:hAnsi="微软雅黑" w:eastAsia="微软雅黑" w:cs="微软雅黑"/>
          <w:sz w:val="18"/>
          <w:szCs w:val="18"/>
          <w:lang w:val="en-US" w:eastAsia="zh-CN"/>
        </w:rPr>
        <w:t>，所有的DDGS产品都是蛋氨酸的优秀来源。DDGS在不同家禽日粮的最大用量分别为：肉子鸡2.5%，育肥肉鸡5%，蛋鸡15%，种鸡20%，青年母鸡5%，鸭5%，斗鸡5%。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center"/>
        <w:textAlignment w:val="auto"/>
        <w:outlineLvl w:val="9"/>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inline distT="0" distB="0" distL="114300" distR="114300">
            <wp:extent cx="3133090" cy="1828800"/>
            <wp:effectExtent l="0" t="0" r="10160" b="0"/>
            <wp:docPr id="3" name="图片 3" descr="ddgs家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gs家禽"/>
                    <pic:cNvPicPr>
                      <a:picLocks noChangeAspect="1"/>
                    </pic:cNvPicPr>
                  </pic:nvPicPr>
                  <pic:blipFill>
                    <a:blip r:embed="rId5"/>
                    <a:stretch>
                      <a:fillRect/>
                    </a:stretch>
                  </pic:blipFill>
                  <pic:spPr>
                    <a:xfrm>
                      <a:off x="0" y="0"/>
                      <a:ext cx="3133090" cy="1828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b/>
          <w:bCs/>
          <w:color w:val="00B050"/>
          <w:sz w:val="18"/>
          <w:szCs w:val="18"/>
          <w:lang w:val="en-US" w:eastAsia="zh-CN"/>
        </w:rPr>
      </w:pPr>
      <w:r>
        <w:rPr>
          <w:rFonts w:hint="eastAsia" w:ascii="微软雅黑" w:hAnsi="微软雅黑" w:eastAsia="微软雅黑" w:cs="微软雅黑"/>
          <w:b/>
          <w:bCs/>
          <w:color w:val="00B050"/>
          <w:sz w:val="18"/>
          <w:szCs w:val="18"/>
          <w:lang w:val="en-US" w:eastAsia="zh-CN"/>
        </w:rPr>
        <w:t>1.3</w:t>
      </w:r>
      <w:r>
        <w:rPr>
          <w:rFonts w:hint="default" w:ascii="微软雅黑" w:hAnsi="微软雅黑" w:eastAsia="微软雅黑" w:cs="微软雅黑"/>
          <w:b/>
          <w:bCs/>
          <w:color w:val="00B050"/>
          <w:sz w:val="18"/>
          <w:szCs w:val="18"/>
          <w:lang w:val="en-US" w:eastAsia="zh-CN"/>
        </w:rPr>
        <w:t>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DDGS饲料能预防猪肠道消化疾病并能抑制饲料自身的病原菌，DDGS有效磷含量高，钙含量很低，需要其他矿物原料来补充；B族维生素和维生素E含量丰富，但赖氨酸和色氨酸含量很低，必须添加赖氨酸和色氨酸。玉米DDGS是猪不同生长阶段所需能量、蛋白质和其他主要养分的优秀来源。DDGS在不同猪日粮的最大用量分别为：子猪（7千克~12千克）和生长猪（12千克~50千克）20%，育肥猪（50千克~100千克）20%，怀孕母猪50%，泌乳母猪20%，种公猪50%，后备母猪20%。 使用DDGS不当将会影响饲料的适口性，刚出厂时酒味很浓，用于生产猪饲料，添加5%-6%则会导致饲料适口性下降，但存放一段时间之后，则刺激性气味明显减弱，适口性提高。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center"/>
        <w:textAlignment w:val="auto"/>
        <w:outlineLvl w:val="9"/>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inline distT="0" distB="0" distL="114300" distR="114300">
            <wp:extent cx="3019425" cy="1943100"/>
            <wp:effectExtent l="0" t="0" r="9525" b="0"/>
            <wp:docPr id="4" name="图片 4" descr="DDGS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GS猪"/>
                    <pic:cNvPicPr>
                      <a:picLocks noChangeAspect="1"/>
                    </pic:cNvPicPr>
                  </pic:nvPicPr>
                  <pic:blipFill>
                    <a:blip r:embed="rId6"/>
                    <a:stretch>
                      <a:fillRect/>
                    </a:stretch>
                  </pic:blipFill>
                  <pic:spPr>
                    <a:xfrm>
                      <a:off x="0" y="0"/>
                      <a:ext cx="3019425" cy="1943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b/>
          <w:bCs/>
          <w:color w:val="00B050"/>
          <w:sz w:val="18"/>
          <w:szCs w:val="18"/>
          <w:lang w:val="en-US" w:eastAsia="zh-CN"/>
        </w:rPr>
      </w:pPr>
      <w:r>
        <w:rPr>
          <w:rFonts w:hint="eastAsia" w:ascii="微软雅黑" w:hAnsi="微软雅黑" w:eastAsia="微软雅黑" w:cs="微软雅黑"/>
          <w:b/>
          <w:bCs/>
          <w:color w:val="00B050"/>
          <w:sz w:val="18"/>
          <w:szCs w:val="18"/>
          <w:lang w:val="en-US" w:eastAsia="zh-CN"/>
        </w:rPr>
        <w:t>1.4</w:t>
      </w:r>
      <w:r>
        <w:rPr>
          <w:rFonts w:hint="default" w:ascii="微软雅黑" w:hAnsi="微软雅黑" w:eastAsia="微软雅黑" w:cs="微软雅黑"/>
          <w:b/>
          <w:bCs/>
          <w:color w:val="00B050"/>
          <w:sz w:val="18"/>
          <w:szCs w:val="18"/>
          <w:lang w:val="en-US" w:eastAsia="zh-CN"/>
        </w:rPr>
        <w:t>肉牛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DDGS用于肉牛饲料，优越性表现在：提高</w:t>
      </w:r>
      <w:r>
        <w:rPr>
          <w:rFonts w:hint="default" w:ascii="微软雅黑" w:hAnsi="微软雅黑" w:eastAsia="微软雅黑" w:cs="微软雅黑"/>
          <w:sz w:val="18"/>
          <w:szCs w:val="18"/>
          <w:lang w:val="en-US" w:eastAsia="zh-CN"/>
        </w:rPr>
        <w:fldChar w:fldCharType="begin"/>
      </w:r>
      <w:r>
        <w:rPr>
          <w:rFonts w:hint="default" w:ascii="微软雅黑" w:hAnsi="微软雅黑" w:eastAsia="微软雅黑" w:cs="微软雅黑"/>
          <w:sz w:val="18"/>
          <w:szCs w:val="18"/>
          <w:lang w:val="en-US" w:eastAsia="zh-CN"/>
        </w:rPr>
        <w:instrText xml:space="preserve"> HYPERLINK "https://baike.baidu.com/item/%E7%98%A4%E8%83%83" \t "https://baike.baidu.com/item/DDGS%E9%A5%B2%E6%96%99/_blank" </w:instrText>
      </w:r>
      <w:r>
        <w:rPr>
          <w:rFonts w:hint="default" w:ascii="微软雅黑" w:hAnsi="微软雅黑" w:eastAsia="微软雅黑" w:cs="微软雅黑"/>
          <w:sz w:val="18"/>
          <w:szCs w:val="18"/>
          <w:lang w:val="en-US" w:eastAsia="zh-CN"/>
        </w:rPr>
        <w:fldChar w:fldCharType="separate"/>
      </w:r>
      <w:r>
        <w:rPr>
          <w:rFonts w:hint="default" w:ascii="微软雅黑" w:hAnsi="微软雅黑" w:eastAsia="微软雅黑" w:cs="微软雅黑"/>
          <w:sz w:val="18"/>
          <w:szCs w:val="18"/>
          <w:lang w:val="en-US" w:eastAsia="zh-CN"/>
        </w:rPr>
        <w:t>瘤胃</w:t>
      </w:r>
      <w:r>
        <w:rPr>
          <w:rFonts w:hint="default" w:ascii="微软雅黑" w:hAnsi="微软雅黑" w:eastAsia="微软雅黑" w:cs="微软雅黑"/>
          <w:sz w:val="18"/>
          <w:szCs w:val="18"/>
          <w:lang w:val="en-US" w:eastAsia="zh-CN"/>
        </w:rPr>
        <w:fldChar w:fldCharType="end"/>
      </w:r>
      <w:r>
        <w:rPr>
          <w:rFonts w:hint="default" w:ascii="微软雅黑" w:hAnsi="微软雅黑" w:eastAsia="微软雅黑" w:cs="微软雅黑"/>
          <w:sz w:val="18"/>
          <w:szCs w:val="18"/>
          <w:lang w:val="en-US" w:eastAsia="zh-CN"/>
        </w:rPr>
        <w:t>发酵功能，提供过瘤胃蛋白质，转化纤维为能量，适口性和食用安全性强，是磷和钾等矿物质的优秀来源。肉牛生产试验表明，新鲜DG、新鲜DGS和DDGS的增重净能分别为压片玉米的96%、102%和80%。由于新鲜或干燥DGS中脂肪和有效纤维替代可溶性碳水化合物和淀粉有助于维持瘤胃微生态的平衡和稳定瘤胃pH值，因此，新鲜或干燥DGS能减少瘤胃酸中毒。DDGS在过瘤胃蛋白质、优秀的适口性和有效纤维的安全性方面具备的独特性，在代乳料中用量达20%；补乳料中用量达20%；在育肥肉牛的用量为总采食干物质的40%；后备母牛的用量为总采食干物质的25%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center"/>
        <w:textAlignment w:val="auto"/>
        <w:outlineLvl w:val="9"/>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inline distT="0" distB="0" distL="114300" distR="114300">
            <wp:extent cx="2952115" cy="1967865"/>
            <wp:effectExtent l="0" t="0" r="635" b="13335"/>
            <wp:docPr id="5" name="图片 5" descr="DDGS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GS牛"/>
                    <pic:cNvPicPr>
                      <a:picLocks noChangeAspect="1"/>
                    </pic:cNvPicPr>
                  </pic:nvPicPr>
                  <pic:blipFill>
                    <a:blip r:embed="rId7"/>
                    <a:stretch>
                      <a:fillRect/>
                    </a:stretch>
                  </pic:blipFill>
                  <pic:spPr>
                    <a:xfrm>
                      <a:off x="0" y="0"/>
                      <a:ext cx="2952115" cy="1967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b/>
          <w:bCs/>
          <w:color w:val="00B050"/>
          <w:sz w:val="18"/>
          <w:szCs w:val="18"/>
          <w:lang w:val="en-US" w:eastAsia="zh-CN"/>
        </w:rPr>
      </w:pPr>
      <w:r>
        <w:rPr>
          <w:rFonts w:hint="eastAsia" w:ascii="微软雅黑" w:hAnsi="微软雅黑" w:eastAsia="微软雅黑" w:cs="微软雅黑"/>
          <w:b/>
          <w:bCs/>
          <w:color w:val="00B050"/>
          <w:sz w:val="18"/>
          <w:szCs w:val="18"/>
          <w:lang w:val="en-US" w:eastAsia="zh-CN"/>
        </w:rPr>
        <w:t>1.5</w:t>
      </w:r>
      <w:r>
        <w:rPr>
          <w:rFonts w:hint="default" w:ascii="微软雅黑" w:hAnsi="微软雅黑" w:eastAsia="微软雅黑" w:cs="微软雅黑"/>
          <w:b/>
          <w:bCs/>
          <w:color w:val="00B050"/>
          <w:sz w:val="18"/>
          <w:szCs w:val="18"/>
          <w:lang w:val="en-US" w:eastAsia="zh-CN"/>
        </w:rPr>
        <w:t>美国DDGS与国产DDGS比较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美国DDGS的典型营养价值为：含</w:t>
      </w:r>
      <w:r>
        <w:rPr>
          <w:rFonts w:hint="default" w:ascii="微软雅黑" w:hAnsi="微软雅黑" w:eastAsia="微软雅黑" w:cs="微软雅黑"/>
          <w:sz w:val="18"/>
          <w:szCs w:val="18"/>
          <w:lang w:val="en-US" w:eastAsia="zh-CN"/>
        </w:rPr>
        <w:fldChar w:fldCharType="begin"/>
      </w:r>
      <w:r>
        <w:rPr>
          <w:rFonts w:hint="default" w:ascii="微软雅黑" w:hAnsi="微软雅黑" w:eastAsia="微软雅黑" w:cs="微软雅黑"/>
          <w:sz w:val="18"/>
          <w:szCs w:val="18"/>
          <w:lang w:val="en-US" w:eastAsia="zh-CN"/>
        </w:rPr>
        <w:instrText xml:space="preserve"> HYPERLINK "https://baike.baidu.com/item/%E7%B2%97%E8%9B%8B%E7%99%BD%E8%B4%A8" \t "https://baike.baidu.com/item/DDGS%E9%A5%B2%E6%96%99/_blank" </w:instrText>
      </w:r>
      <w:r>
        <w:rPr>
          <w:rFonts w:hint="default" w:ascii="微软雅黑" w:hAnsi="微软雅黑" w:eastAsia="微软雅黑" w:cs="微软雅黑"/>
          <w:sz w:val="18"/>
          <w:szCs w:val="18"/>
          <w:lang w:val="en-US" w:eastAsia="zh-CN"/>
        </w:rPr>
        <w:fldChar w:fldCharType="separate"/>
      </w:r>
      <w:r>
        <w:rPr>
          <w:rFonts w:hint="default" w:ascii="微软雅黑" w:hAnsi="微软雅黑" w:eastAsia="微软雅黑" w:cs="微软雅黑"/>
          <w:sz w:val="18"/>
          <w:szCs w:val="18"/>
          <w:lang w:val="en-US" w:eastAsia="zh-CN"/>
        </w:rPr>
        <w:t>粗蛋白质</w:t>
      </w:r>
      <w:r>
        <w:rPr>
          <w:rFonts w:hint="default" w:ascii="微软雅黑" w:hAnsi="微软雅黑" w:eastAsia="微软雅黑" w:cs="微软雅黑"/>
          <w:sz w:val="18"/>
          <w:szCs w:val="18"/>
          <w:lang w:val="en-US" w:eastAsia="zh-CN"/>
        </w:rPr>
        <w:fldChar w:fldCharType="end"/>
      </w:r>
      <w:r>
        <w:rPr>
          <w:rFonts w:hint="default" w:ascii="微软雅黑" w:hAnsi="微软雅黑" w:eastAsia="微软雅黑" w:cs="微软雅黑"/>
          <w:sz w:val="18"/>
          <w:szCs w:val="18"/>
          <w:lang w:val="en-US" w:eastAsia="zh-CN"/>
        </w:rPr>
        <w:t>26%以上，</w:t>
      </w:r>
      <w:r>
        <w:rPr>
          <w:rFonts w:hint="default" w:ascii="微软雅黑" w:hAnsi="微软雅黑" w:eastAsia="微软雅黑" w:cs="微软雅黑"/>
          <w:sz w:val="18"/>
          <w:szCs w:val="18"/>
          <w:lang w:val="en-US" w:eastAsia="zh-CN"/>
        </w:rPr>
        <w:fldChar w:fldCharType="begin"/>
      </w:r>
      <w:r>
        <w:rPr>
          <w:rFonts w:hint="default" w:ascii="微软雅黑" w:hAnsi="微软雅黑" w:eastAsia="微软雅黑" w:cs="微软雅黑"/>
          <w:sz w:val="18"/>
          <w:szCs w:val="18"/>
          <w:lang w:val="en-US" w:eastAsia="zh-CN"/>
        </w:rPr>
        <w:instrText xml:space="preserve"> HYPERLINK "https://baike.baidu.com/item/%E7%B2%97%E8%84%82%E8%82%AA" \t "https://baike.baidu.com/item/DDGS%E9%A5%B2%E6%96%99/_blank" </w:instrText>
      </w:r>
      <w:r>
        <w:rPr>
          <w:rFonts w:hint="default" w:ascii="微软雅黑" w:hAnsi="微软雅黑" w:eastAsia="微软雅黑" w:cs="微软雅黑"/>
          <w:sz w:val="18"/>
          <w:szCs w:val="18"/>
          <w:lang w:val="en-US" w:eastAsia="zh-CN"/>
        </w:rPr>
        <w:fldChar w:fldCharType="separate"/>
      </w:r>
      <w:r>
        <w:rPr>
          <w:rFonts w:hint="default" w:ascii="微软雅黑" w:hAnsi="微软雅黑" w:eastAsia="微软雅黑" w:cs="微软雅黑"/>
          <w:sz w:val="18"/>
          <w:szCs w:val="18"/>
          <w:lang w:val="en-US" w:eastAsia="zh-CN"/>
        </w:rPr>
        <w:t>粗脂肪</w:t>
      </w:r>
      <w:r>
        <w:rPr>
          <w:rFonts w:hint="default" w:ascii="微软雅黑" w:hAnsi="微软雅黑" w:eastAsia="微软雅黑" w:cs="微软雅黑"/>
          <w:sz w:val="18"/>
          <w:szCs w:val="18"/>
          <w:lang w:val="en-US" w:eastAsia="zh-CN"/>
        </w:rPr>
        <w:fldChar w:fldCharType="end"/>
      </w:r>
      <w:r>
        <w:rPr>
          <w:rFonts w:hint="default" w:ascii="微软雅黑" w:hAnsi="微软雅黑" w:eastAsia="微软雅黑" w:cs="微软雅黑"/>
          <w:sz w:val="18"/>
          <w:szCs w:val="18"/>
          <w:lang w:val="en-US" w:eastAsia="zh-CN"/>
        </w:rPr>
        <w:t>10%以上，0.85%赖氨酸和0.75%的磷。由于酒精生产工艺和干燥过程不同，美国生产的DDGS和中国生产的DDGS营养成分含量和利用率是不同的。国产的DDGS养分变异较大，并且由于在发酵前脱去了玉米的胚芽，产品脂肪含量较低，因而能量含量也比较低。国产的DDGS蛋白质利用率低可能主要是在干燥过程中过度加热所造成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lang w:val="en-US" w:eastAsia="zh-CN"/>
        </w:rPr>
      </w:pPr>
    </w:p>
    <w:p>
      <w:pPr>
        <w:pStyle w:val="7"/>
        <w:numPr>
          <w:ilvl w:val="0"/>
          <w:numId w:val="1"/>
        </w:numPr>
        <w:spacing w:line="360" w:lineRule="auto"/>
        <w:ind w:left="0" w:leftChars="0" w:firstLine="420" w:firstLineChars="0"/>
        <w:rPr>
          <w:rFonts w:hint="eastAsia" w:ascii="微软雅黑" w:hAnsi="微软雅黑" w:eastAsia="微软雅黑" w:cstheme="minorBidi"/>
          <w:b/>
          <w:color w:val="00B050"/>
          <w:kern w:val="2"/>
          <w:sz w:val="18"/>
          <w:szCs w:val="18"/>
          <w:lang w:val="en-US" w:eastAsia="zh-CN" w:bidi="ar-SA"/>
        </w:rPr>
      </w:pPr>
      <w:r>
        <w:rPr>
          <w:rFonts w:hint="eastAsia" w:ascii="微软雅黑" w:hAnsi="微软雅黑" w:eastAsia="微软雅黑" w:cstheme="minorBidi"/>
          <w:b/>
          <w:color w:val="00B050"/>
          <w:kern w:val="2"/>
          <w:sz w:val="18"/>
          <w:szCs w:val="18"/>
          <w:lang w:val="en-US" w:eastAsia="zh-CN" w:bidi="ar-SA"/>
        </w:rPr>
        <w:t>玉米DDGS使用过程中的潜在问题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b/>
          <w:bCs/>
          <w:color w:val="00B050"/>
          <w:sz w:val="18"/>
          <w:szCs w:val="18"/>
        </w:rPr>
      </w:pPr>
      <w:r>
        <w:rPr>
          <w:rFonts w:hint="eastAsia" w:ascii="微软雅黑" w:hAnsi="微软雅黑" w:eastAsia="微软雅黑" w:cs="微软雅黑"/>
          <w:b/>
          <w:bCs/>
          <w:color w:val="00B050"/>
          <w:sz w:val="18"/>
          <w:szCs w:val="18"/>
        </w:rPr>
        <w:t>2.1   DDGS的霉菌毒素污染问题：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霉菌毒素是由霉菌在田间或储藏期间产生的，严重影响猪的生产性能。对猪造成危害的主要是霉菌毒素中的玉米赤霉烯酮和呕吐毒素。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日粮中两种霉菌毒素的最大允许量不超过1 mg/kg，过多摄入大量霉菌毒素可引起中毒等现象，特别是对于母猪。发酵过程并不能对霉菌毒素产生破坏作用，反而使其和赖氨酸等养分一样，浓度提高3倍。所以，原料玉米中霉菌毒素的含量，直接影响DDGS饲喂动物的生产效果。而DDGS水分含量高，谷物已破损，霉菌容易生长，因此，霉菌毒素含量很高，可能存在多种霉菌毒素，会引起霉菌毒素中毒症。导致免疫低下和病患率升高，生产性能下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在使用DDGS时一定要掌握确切营养成分组成，优缺点。另外，在对动物健康方面应该注意：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sz w:val="18"/>
          <w:szCs w:val="18"/>
        </w:rPr>
      </w:pPr>
      <w:r>
        <w:rPr>
          <w:rFonts w:hint="default" w:ascii="微软雅黑" w:hAnsi="微软雅黑" w:eastAsia="微软雅黑" w:cs="微软雅黑"/>
          <w:sz w:val="18"/>
          <w:szCs w:val="18"/>
          <w:lang w:val="en-US" w:eastAsia="zh-CN"/>
        </w:rPr>
        <w:t>1）</w:t>
      </w:r>
      <w:r>
        <w:rPr>
          <w:rFonts w:hint="default" w:ascii="微软雅黑" w:hAnsi="微软雅黑" w:eastAsia="微软雅黑" w:cs="微软雅黑"/>
          <w:sz w:val="18"/>
          <w:szCs w:val="18"/>
          <w:lang w:val="en-US" w:eastAsia="zh-CN"/>
        </w:rPr>
        <w:fldChar w:fldCharType="begin"/>
      </w:r>
      <w:r>
        <w:rPr>
          <w:rFonts w:hint="default" w:ascii="微软雅黑" w:hAnsi="微软雅黑" w:eastAsia="微软雅黑" w:cs="微软雅黑"/>
          <w:sz w:val="18"/>
          <w:szCs w:val="18"/>
          <w:lang w:val="en-US" w:eastAsia="zh-CN"/>
        </w:rPr>
        <w:instrText xml:space="preserve"> HYPERLINK "https://baike.baidu.com/item/%E9%9C%89%E8%8F%8C%E6%AF%92%E7%B4%A0" \t "https://baike.baidu.com/item/DDGS%E9%A5%B2%E6%96%99/_blank" </w:instrText>
      </w:r>
      <w:r>
        <w:rPr>
          <w:rFonts w:hint="default" w:ascii="微软雅黑" w:hAnsi="微软雅黑" w:eastAsia="微软雅黑" w:cs="微软雅黑"/>
          <w:sz w:val="18"/>
          <w:szCs w:val="18"/>
          <w:lang w:val="en-US" w:eastAsia="zh-CN"/>
        </w:rPr>
        <w:fldChar w:fldCharType="separate"/>
      </w:r>
      <w:r>
        <w:rPr>
          <w:rFonts w:hint="default" w:ascii="微软雅黑" w:hAnsi="微软雅黑" w:eastAsia="微软雅黑" w:cs="微软雅黑"/>
          <w:sz w:val="18"/>
          <w:szCs w:val="18"/>
        </w:rPr>
        <w:t>霉菌毒素</w:t>
      </w:r>
      <w:r>
        <w:rPr>
          <w:rFonts w:hint="default" w:ascii="微软雅黑" w:hAnsi="微软雅黑" w:eastAsia="微软雅黑" w:cs="微软雅黑"/>
          <w:sz w:val="18"/>
          <w:szCs w:val="18"/>
          <w:lang w:val="en-US" w:eastAsia="zh-CN"/>
        </w:rPr>
        <w:fldChar w:fldCharType="end"/>
      </w:r>
      <w:r>
        <w:rPr>
          <w:rFonts w:hint="default" w:ascii="微软雅黑" w:hAnsi="微软雅黑" w:eastAsia="微软雅黑" w:cs="微软雅黑"/>
          <w:sz w:val="18"/>
          <w:szCs w:val="18"/>
          <w:lang w:val="en-US" w:eastAsia="zh-CN"/>
        </w:rPr>
        <w:t>问题：DDGS水分含量高，谷物已破损，霉菌容易生长，因此霉菌毒素含量很高，可能存在多种霉菌毒素，会引起家畜的霉菌毒素中毒症。导致免疫低下易发病，生产性能下降。所以必须用防霉剂和广谱霉菌毒素吸附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sz w:val="18"/>
          <w:szCs w:val="18"/>
        </w:rPr>
      </w:pPr>
      <w:r>
        <w:rPr>
          <w:rFonts w:hint="default" w:ascii="微软雅黑" w:hAnsi="微软雅黑" w:eastAsia="微软雅黑" w:cs="微软雅黑"/>
          <w:sz w:val="18"/>
          <w:szCs w:val="18"/>
          <w:lang w:val="en-US" w:eastAsia="zh-CN"/>
        </w:rPr>
        <w:t>2）因为DDGS中不饱和脂肪酸的比例高，容易发生氧化，对动物健康不利，能值下降，影响生产性能和产品质量如胴体品质、牛奶质量，所以要使用抗氧化剂。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default" w:ascii="微软雅黑" w:hAnsi="微软雅黑" w:eastAsia="微软雅黑" w:cs="微软雅黑"/>
          <w:sz w:val="18"/>
          <w:szCs w:val="18"/>
        </w:rPr>
      </w:pPr>
      <w:r>
        <w:rPr>
          <w:rFonts w:hint="default" w:ascii="微软雅黑" w:hAnsi="微软雅黑" w:eastAsia="微软雅黑" w:cs="微软雅黑"/>
          <w:sz w:val="18"/>
          <w:szCs w:val="18"/>
          <w:lang w:val="en-US" w:eastAsia="zh-CN"/>
        </w:rPr>
        <w:t>3）</w:t>
      </w:r>
      <w:r>
        <w:rPr>
          <w:rFonts w:hint="default" w:ascii="微软雅黑" w:hAnsi="微软雅黑" w:eastAsia="微软雅黑" w:cs="微软雅黑"/>
          <w:sz w:val="18"/>
          <w:szCs w:val="18"/>
          <w:lang w:val="en-US" w:eastAsia="zh-CN"/>
        </w:rPr>
        <w:fldChar w:fldCharType="begin"/>
      </w:r>
      <w:r>
        <w:rPr>
          <w:rFonts w:hint="default" w:ascii="微软雅黑" w:hAnsi="微软雅黑" w:eastAsia="微软雅黑" w:cs="微软雅黑"/>
          <w:sz w:val="18"/>
          <w:szCs w:val="18"/>
          <w:lang w:val="en-US" w:eastAsia="zh-CN"/>
        </w:rPr>
        <w:instrText xml:space="preserve"> HYPERLINK "https://baike.baidu.com/item/%E6%8A%97%E8%90%A5%E5%85%BB%E5%9B%A0%E5%AD%90" \t "https://baike.baidu.com/item/DDGS%E9%A5%B2%E6%96%99/_blank" </w:instrText>
      </w:r>
      <w:r>
        <w:rPr>
          <w:rFonts w:hint="default" w:ascii="微软雅黑" w:hAnsi="微软雅黑" w:eastAsia="微软雅黑" w:cs="微软雅黑"/>
          <w:sz w:val="18"/>
          <w:szCs w:val="18"/>
          <w:lang w:val="en-US" w:eastAsia="zh-CN"/>
        </w:rPr>
        <w:fldChar w:fldCharType="separate"/>
      </w:r>
      <w:r>
        <w:rPr>
          <w:rFonts w:hint="default" w:ascii="微软雅黑" w:hAnsi="微软雅黑" w:eastAsia="微软雅黑" w:cs="微软雅黑"/>
          <w:sz w:val="18"/>
          <w:szCs w:val="18"/>
        </w:rPr>
        <w:t>抗营养因子</w:t>
      </w:r>
      <w:r>
        <w:rPr>
          <w:rFonts w:hint="default" w:ascii="微软雅黑" w:hAnsi="微软雅黑" w:eastAsia="微软雅黑" w:cs="微软雅黑"/>
          <w:sz w:val="18"/>
          <w:szCs w:val="18"/>
          <w:lang w:val="en-US" w:eastAsia="zh-CN"/>
        </w:rPr>
        <w:fldChar w:fldCharType="end"/>
      </w:r>
      <w:r>
        <w:rPr>
          <w:rFonts w:hint="default" w:ascii="微软雅黑" w:hAnsi="微软雅黑" w:eastAsia="微软雅黑" w:cs="微软雅黑"/>
          <w:sz w:val="18"/>
          <w:szCs w:val="18"/>
          <w:lang w:val="en-US" w:eastAsia="zh-CN"/>
        </w:rPr>
        <w:t>：DDGS米糠中的纤维含量高，单胃动物不能利用它，所以使用酶制剂提高动物对纤维的利用率。另外有些产品可能有植物凝集素、棉酚等，加工后活性应大幅度降低。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因此：要定期检测DDGS中霉菌毒素的含量，对于霉菌毒素超标的DDGS应及时做处理。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200"/>
        <w:jc w:val="both"/>
        <w:textAlignment w:val="auto"/>
        <w:outlineLvl w:val="9"/>
        <w:rPr>
          <w:rFonts w:hint="eastAsia" w:ascii="微软雅黑" w:hAnsi="微软雅黑" w:eastAsia="微软雅黑" w:cs="微软雅黑"/>
          <w:sz w:val="18"/>
          <w:szCs w:val="18"/>
        </w:rPr>
      </w:pPr>
      <w:bookmarkStart w:id="0" w:name="_GoBack"/>
      <w:bookmarkEnd w:id="0"/>
    </w:p>
    <w:p>
      <w:pPr>
        <w:pStyle w:val="7"/>
        <w:numPr>
          <w:ilvl w:val="0"/>
          <w:numId w:val="1"/>
        </w:numPr>
        <w:spacing w:line="360" w:lineRule="auto"/>
        <w:ind w:left="0" w:leftChars="0" w:firstLine="420" w:firstLineChars="0"/>
        <w:rPr>
          <w:rFonts w:hint="eastAsia" w:ascii="微软雅黑" w:hAnsi="微软雅黑" w:eastAsia="微软雅黑" w:cstheme="minorBidi"/>
          <w:b/>
          <w:color w:val="00B050"/>
          <w:kern w:val="2"/>
          <w:sz w:val="18"/>
          <w:szCs w:val="18"/>
          <w:lang w:val="en-US" w:eastAsia="zh-CN" w:bidi="ar-SA"/>
        </w:rPr>
      </w:pPr>
      <w:r>
        <w:rPr>
          <w:rFonts w:hint="eastAsia" w:ascii="微软雅黑" w:hAnsi="微软雅黑" w:eastAsia="微软雅黑" w:cstheme="minorBidi"/>
          <w:b/>
          <w:color w:val="00B050"/>
          <w:kern w:val="2"/>
          <w:sz w:val="18"/>
          <w:szCs w:val="18"/>
          <w:lang w:val="en-US" w:eastAsia="zh-CN" w:bidi="ar-SA"/>
        </w:rPr>
        <w:t>玉米DDGS中霉菌毒素快速定量检测方法</w:t>
      </w:r>
    </w:p>
    <w:p>
      <w:pPr>
        <w:spacing w:line="360" w:lineRule="auto"/>
        <w:rPr>
          <w:rFonts w:ascii="微软雅黑" w:hAnsi="微软雅黑" w:eastAsia="微软雅黑"/>
          <w:sz w:val="18"/>
          <w:szCs w:val="18"/>
        </w:rPr>
      </w:pPr>
      <w:r>
        <w:rPr>
          <w:rFonts w:hint="eastAsia" w:ascii="微软雅黑" w:hAnsi="微软雅黑" w:eastAsia="微软雅黑"/>
          <w:sz w:val="18"/>
          <w:szCs w:val="18"/>
        </w:rPr>
        <w:t>上海飞测生物基于全球领先的荧光定量POCT技术平台，在国内率先推出了玉米赤霉烯酮荧光定量检测试纸条，本产品可在8min快速定量的检测出玉米</w:t>
      </w:r>
      <w:r>
        <w:rPr>
          <w:rFonts w:hint="eastAsia" w:ascii="微软雅黑" w:hAnsi="微软雅黑" w:eastAsia="微软雅黑"/>
          <w:sz w:val="18"/>
          <w:szCs w:val="18"/>
          <w:lang w:val="en-US" w:eastAsia="zh-CN"/>
        </w:rPr>
        <w:t>DDGS</w:t>
      </w:r>
      <w:r>
        <w:rPr>
          <w:rFonts w:hint="eastAsia" w:ascii="微软雅黑" w:hAnsi="微软雅黑" w:eastAsia="微软雅黑"/>
          <w:sz w:val="18"/>
          <w:szCs w:val="18"/>
        </w:rPr>
        <w:t>中玉米赤霉烯酮的残留含量，样品前处理简单（仅需8min），检测操作简便，采用荧光免疫定量分析仪读数，结果准确可靠且可现场打印，准确性符合HPLC法的检测结果，适用于各类玉米</w:t>
      </w:r>
      <w:r>
        <w:rPr>
          <w:rFonts w:hint="eastAsia" w:ascii="微软雅黑" w:hAnsi="微软雅黑" w:eastAsia="微软雅黑"/>
          <w:sz w:val="18"/>
          <w:szCs w:val="18"/>
          <w:lang w:val="en-US" w:eastAsia="zh-CN"/>
        </w:rPr>
        <w:t>DDGS</w:t>
      </w:r>
      <w:r>
        <w:rPr>
          <w:rFonts w:hint="eastAsia" w:ascii="微软雅黑" w:hAnsi="微软雅黑" w:eastAsia="微软雅黑"/>
          <w:sz w:val="18"/>
          <w:szCs w:val="18"/>
        </w:rPr>
        <w:t>加工企业及检测机构。</w:t>
      </w:r>
    </w:p>
    <w:p>
      <w:pPr>
        <w:spacing w:line="360" w:lineRule="auto"/>
        <w:jc w:val="center"/>
        <w:rPr>
          <w:rFonts w:ascii="微软雅黑" w:hAnsi="微软雅黑" w:eastAsia="微软雅黑"/>
          <w:b/>
          <w:sz w:val="18"/>
          <w:szCs w:val="18"/>
        </w:rPr>
      </w:pPr>
      <w:r>
        <w:rPr>
          <w:rFonts w:ascii="微软雅黑" w:hAnsi="微软雅黑" w:eastAsia="微软雅黑"/>
          <w:b/>
          <w:sz w:val="18"/>
          <w:szCs w:val="18"/>
        </w:rPr>
        <w:drawing>
          <wp:inline distT="0" distB="0" distL="0" distR="0">
            <wp:extent cx="4491990" cy="1087120"/>
            <wp:effectExtent l="0" t="0" r="0" b="0"/>
            <wp:docPr id="1" name="图片 0" descr="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说明.png"/>
                    <pic:cNvPicPr>
                      <a:picLocks noChangeAspect="1"/>
                    </pic:cNvPicPr>
                  </pic:nvPicPr>
                  <pic:blipFill>
                    <a:blip r:embed="rId8" cstate="print"/>
                    <a:stretch>
                      <a:fillRect/>
                    </a:stretch>
                  </pic:blipFill>
                  <pic:spPr>
                    <a:xfrm>
                      <a:off x="0" y="0"/>
                      <a:ext cx="4494697" cy="1087688"/>
                    </a:xfrm>
                    <a:prstGeom prst="rect">
                      <a:avLst/>
                    </a:prstGeom>
                  </pic:spPr>
                </pic:pic>
              </a:graphicData>
            </a:graphic>
          </wp:inline>
        </w:drawing>
      </w:r>
    </w:p>
    <w:p>
      <w:pPr>
        <w:pStyle w:val="7"/>
        <w:numPr>
          <w:ilvl w:val="0"/>
          <w:numId w:val="0"/>
        </w:numPr>
        <w:spacing w:line="360" w:lineRule="auto"/>
        <w:ind w:leftChars="0"/>
        <w:rPr>
          <w:rFonts w:ascii="微软雅黑" w:hAnsi="微软雅黑" w:eastAsia="微软雅黑"/>
          <w:b/>
          <w:color w:val="00B050"/>
          <w:sz w:val="18"/>
          <w:szCs w:val="18"/>
        </w:rPr>
      </w:pPr>
    </w:p>
    <w:p>
      <w:pPr>
        <w:pStyle w:val="7"/>
        <w:numPr>
          <w:ilvl w:val="1"/>
          <w:numId w:val="2"/>
        </w:numPr>
        <w:spacing w:line="360" w:lineRule="auto"/>
        <w:ind w:left="426" w:hanging="426" w:firstLineChars="0"/>
        <w:rPr>
          <w:rFonts w:hint="eastAsia" w:ascii="微软雅黑" w:hAnsi="微软雅黑" w:eastAsia="微软雅黑" w:cs="微软雅黑"/>
          <w:b/>
          <w:bCs/>
          <w:color w:val="00B050"/>
          <w:kern w:val="2"/>
          <w:sz w:val="18"/>
          <w:szCs w:val="18"/>
          <w:lang w:val="en-US" w:eastAsia="zh-CN" w:bidi="ar-SA"/>
        </w:rPr>
      </w:pPr>
      <w:r>
        <w:rPr>
          <w:rFonts w:hint="eastAsia" w:ascii="微软雅黑" w:hAnsi="微软雅黑" w:eastAsia="微软雅黑" w:cs="微软雅黑"/>
          <w:b/>
          <w:bCs/>
          <w:color w:val="00B050"/>
          <w:kern w:val="2"/>
          <w:sz w:val="18"/>
          <w:szCs w:val="18"/>
          <w:lang w:val="en-US" w:eastAsia="zh-CN" w:bidi="ar-SA"/>
        </w:rPr>
        <w:t>样品前处理过程</w:t>
      </w:r>
    </w:p>
    <w:p>
      <w:pPr>
        <w:pStyle w:val="7"/>
        <w:keepNext w:val="0"/>
        <w:keepLines w:val="0"/>
        <w:pageBreakBefore w:val="0"/>
        <w:widowControl w:val="0"/>
        <w:numPr>
          <w:ilvl w:val="0"/>
          <w:numId w:val="3"/>
        </w:numPr>
        <w:kinsoku/>
        <w:wordWrap/>
        <w:overflowPunct/>
        <w:topLinePunct w:val="0"/>
        <w:autoSpaceDE/>
        <w:autoSpaceDN/>
        <w:bidi w:val="0"/>
        <w:adjustRightInd/>
        <w:snapToGrid/>
        <w:spacing w:line="240" w:lineRule="auto"/>
        <w:ind w:left="788" w:leftChars="0" w:right="0" w:rightChars="0" w:hanging="363" w:firstLineChars="0"/>
        <w:jc w:val="both"/>
        <w:textAlignment w:val="auto"/>
        <w:outlineLvl w:val="9"/>
        <w:rPr>
          <w:rFonts w:ascii="微软雅黑" w:hAnsi="微软雅黑" w:eastAsia="微软雅黑"/>
          <w:sz w:val="18"/>
          <w:szCs w:val="18"/>
        </w:rPr>
      </w:pPr>
      <w:r>
        <w:rPr>
          <w:rFonts w:hint="eastAsia" w:ascii="微软雅黑" w:hAnsi="微软雅黑" w:eastAsia="微软雅黑"/>
          <w:sz w:val="18"/>
          <w:szCs w:val="18"/>
        </w:rPr>
        <w:t>粉碎（玉米</w:t>
      </w:r>
      <w:r>
        <w:rPr>
          <w:rFonts w:hint="eastAsia" w:ascii="微软雅黑" w:hAnsi="微软雅黑" w:eastAsia="微软雅黑"/>
          <w:sz w:val="18"/>
          <w:szCs w:val="18"/>
          <w:lang w:val="en-US" w:eastAsia="zh-CN"/>
        </w:rPr>
        <w:t>DDGS</w:t>
      </w:r>
      <w:r>
        <w:rPr>
          <w:rFonts w:hint="eastAsia" w:ascii="微软雅黑" w:hAnsi="微软雅黑" w:eastAsia="微软雅黑"/>
          <w:sz w:val="18"/>
          <w:szCs w:val="18"/>
        </w:rPr>
        <w:t>样品粉碎处理）；</w:t>
      </w:r>
    </w:p>
    <w:p>
      <w:pPr>
        <w:pStyle w:val="7"/>
        <w:keepNext w:val="0"/>
        <w:keepLines w:val="0"/>
        <w:pageBreakBefore w:val="0"/>
        <w:widowControl w:val="0"/>
        <w:numPr>
          <w:ilvl w:val="0"/>
          <w:numId w:val="3"/>
        </w:numPr>
        <w:kinsoku/>
        <w:wordWrap/>
        <w:overflowPunct/>
        <w:topLinePunct w:val="0"/>
        <w:autoSpaceDE/>
        <w:autoSpaceDN/>
        <w:bidi w:val="0"/>
        <w:adjustRightInd/>
        <w:snapToGrid/>
        <w:spacing w:line="240" w:lineRule="auto"/>
        <w:ind w:left="788" w:leftChars="0" w:right="0" w:rightChars="0" w:hanging="363" w:firstLineChars="0"/>
        <w:jc w:val="both"/>
        <w:textAlignment w:val="auto"/>
        <w:outlineLvl w:val="9"/>
        <w:rPr>
          <w:rFonts w:ascii="微软雅黑" w:hAnsi="微软雅黑" w:eastAsia="微软雅黑"/>
          <w:sz w:val="18"/>
          <w:szCs w:val="18"/>
        </w:rPr>
      </w:pPr>
      <w:r>
        <w:rPr>
          <w:rFonts w:ascii="微软雅黑" w:hAnsi="微软雅黑" w:eastAsia="微软雅黑"/>
          <w:sz w:val="18"/>
          <w:szCs w:val="18"/>
        </w:rPr>
        <w:t>振荡提取</w:t>
      </w:r>
      <w:r>
        <w:rPr>
          <w:rFonts w:hint="eastAsia" w:ascii="微软雅黑" w:hAnsi="微软雅黑" w:eastAsia="微软雅黑"/>
          <w:sz w:val="18"/>
          <w:szCs w:val="18"/>
        </w:rPr>
        <w:t>（5min）；</w:t>
      </w:r>
    </w:p>
    <w:p>
      <w:pPr>
        <w:pStyle w:val="7"/>
        <w:keepNext w:val="0"/>
        <w:keepLines w:val="0"/>
        <w:pageBreakBefore w:val="0"/>
        <w:widowControl w:val="0"/>
        <w:numPr>
          <w:ilvl w:val="0"/>
          <w:numId w:val="3"/>
        </w:numPr>
        <w:kinsoku/>
        <w:wordWrap/>
        <w:overflowPunct/>
        <w:topLinePunct w:val="0"/>
        <w:autoSpaceDE/>
        <w:autoSpaceDN/>
        <w:bidi w:val="0"/>
        <w:adjustRightInd/>
        <w:snapToGrid/>
        <w:spacing w:line="240" w:lineRule="auto"/>
        <w:ind w:left="788" w:leftChars="0" w:right="0" w:rightChars="0" w:hanging="363" w:firstLineChars="0"/>
        <w:jc w:val="both"/>
        <w:textAlignment w:val="auto"/>
        <w:outlineLvl w:val="9"/>
        <w:rPr>
          <w:rFonts w:ascii="微软雅黑" w:hAnsi="微软雅黑" w:eastAsia="微软雅黑"/>
          <w:sz w:val="18"/>
          <w:szCs w:val="18"/>
        </w:rPr>
      </w:pPr>
      <w:r>
        <w:rPr>
          <w:rFonts w:hint="eastAsia" w:ascii="微软雅黑" w:hAnsi="微软雅黑" w:eastAsia="微软雅黑"/>
          <w:sz w:val="18"/>
          <w:szCs w:val="18"/>
        </w:rPr>
        <w:t>离心（2min）；</w:t>
      </w:r>
    </w:p>
    <w:p>
      <w:pPr>
        <w:pStyle w:val="7"/>
        <w:numPr>
          <w:ilvl w:val="0"/>
          <w:numId w:val="0"/>
        </w:numPr>
        <w:spacing w:line="360" w:lineRule="auto"/>
        <w:ind w:leftChars="0"/>
        <w:jc w:val="center"/>
        <w:rPr>
          <w:rFonts w:ascii="微软雅黑" w:hAnsi="微软雅黑" w:eastAsia="微软雅黑"/>
          <w:b/>
          <w:color w:val="00B050"/>
          <w:sz w:val="18"/>
          <w:szCs w:val="18"/>
        </w:rPr>
      </w:pPr>
      <w:r>
        <w:rPr>
          <w:rFonts w:ascii="微软雅黑" w:hAnsi="微软雅黑" w:eastAsia="微软雅黑"/>
          <w:b/>
          <w:sz w:val="18"/>
          <w:szCs w:val="18"/>
        </w:rPr>
        <w:drawing>
          <wp:inline distT="0" distB="0" distL="0" distR="0">
            <wp:extent cx="4767580" cy="1035685"/>
            <wp:effectExtent l="0" t="0" r="13970" b="12065"/>
            <wp:docPr id="13" name="图片 12" descr="样品前处理20170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样品前处理20170911.png"/>
                    <pic:cNvPicPr>
                      <a:picLocks noChangeAspect="1"/>
                    </pic:cNvPicPr>
                  </pic:nvPicPr>
                  <pic:blipFill>
                    <a:blip r:embed="rId9" cstate="print"/>
                    <a:stretch>
                      <a:fillRect/>
                    </a:stretch>
                  </pic:blipFill>
                  <pic:spPr>
                    <a:xfrm>
                      <a:off x="0" y="0"/>
                      <a:ext cx="4772578" cy="1037142"/>
                    </a:xfrm>
                    <a:prstGeom prst="rect">
                      <a:avLst/>
                    </a:prstGeom>
                  </pic:spPr>
                </pic:pic>
              </a:graphicData>
            </a:graphic>
          </wp:inline>
        </w:drawing>
      </w:r>
    </w:p>
    <w:p>
      <w:pPr>
        <w:pStyle w:val="7"/>
        <w:numPr>
          <w:ilvl w:val="0"/>
          <w:numId w:val="0"/>
        </w:numPr>
        <w:spacing w:line="360" w:lineRule="auto"/>
        <w:ind w:leftChars="0"/>
        <w:rPr>
          <w:rFonts w:ascii="微软雅黑" w:hAnsi="微软雅黑" w:eastAsia="微软雅黑"/>
          <w:b/>
          <w:color w:val="00B050"/>
          <w:sz w:val="18"/>
          <w:szCs w:val="18"/>
        </w:rPr>
      </w:pPr>
    </w:p>
    <w:p>
      <w:pPr>
        <w:pStyle w:val="7"/>
        <w:numPr>
          <w:ilvl w:val="1"/>
          <w:numId w:val="2"/>
        </w:numPr>
        <w:spacing w:line="360" w:lineRule="auto"/>
        <w:ind w:left="426" w:hanging="426" w:firstLineChars="0"/>
        <w:rPr>
          <w:rFonts w:ascii="微软雅黑" w:hAnsi="微软雅黑" w:eastAsia="微软雅黑"/>
          <w:b/>
          <w:color w:val="00B050"/>
          <w:sz w:val="18"/>
          <w:szCs w:val="18"/>
        </w:rPr>
      </w:pPr>
      <w:r>
        <w:rPr>
          <w:rFonts w:hint="eastAsia" w:ascii="微软雅黑" w:hAnsi="微软雅黑" w:eastAsia="微软雅黑"/>
          <w:b/>
          <w:color w:val="00B050"/>
          <w:sz w:val="18"/>
          <w:szCs w:val="18"/>
        </w:rPr>
        <w:t>检测操作过程</w:t>
      </w:r>
    </w:p>
    <w:p>
      <w:pPr>
        <w:pStyle w:val="7"/>
        <w:keepNext w:val="0"/>
        <w:keepLines w:val="0"/>
        <w:pageBreakBefore w:val="0"/>
        <w:widowControl w:val="0"/>
        <w:numPr>
          <w:ilvl w:val="0"/>
          <w:numId w:val="4"/>
        </w:numPr>
        <w:kinsoku/>
        <w:wordWrap/>
        <w:overflowPunct/>
        <w:topLinePunct w:val="0"/>
        <w:autoSpaceDE/>
        <w:autoSpaceDN/>
        <w:bidi w:val="0"/>
        <w:adjustRightInd/>
        <w:snapToGrid/>
        <w:spacing w:line="240" w:lineRule="auto"/>
        <w:ind w:left="788" w:leftChars="0" w:right="0" w:rightChars="0" w:hanging="363" w:firstLineChars="0"/>
        <w:jc w:val="both"/>
        <w:textAlignment w:val="auto"/>
        <w:outlineLvl w:val="9"/>
        <w:rPr>
          <w:rFonts w:ascii="微软雅黑" w:hAnsi="微软雅黑" w:eastAsia="微软雅黑"/>
          <w:sz w:val="18"/>
          <w:szCs w:val="18"/>
        </w:rPr>
      </w:pPr>
      <w:r>
        <w:rPr>
          <w:rFonts w:hint="eastAsia" w:ascii="微软雅黑" w:hAnsi="微软雅黑" w:eastAsia="微软雅黑"/>
          <w:sz w:val="18"/>
          <w:szCs w:val="18"/>
        </w:rPr>
        <w:t>稀释；</w:t>
      </w:r>
    </w:p>
    <w:p>
      <w:pPr>
        <w:pStyle w:val="7"/>
        <w:keepNext w:val="0"/>
        <w:keepLines w:val="0"/>
        <w:pageBreakBefore w:val="0"/>
        <w:widowControl w:val="0"/>
        <w:numPr>
          <w:ilvl w:val="0"/>
          <w:numId w:val="4"/>
        </w:numPr>
        <w:kinsoku/>
        <w:wordWrap/>
        <w:overflowPunct/>
        <w:topLinePunct w:val="0"/>
        <w:autoSpaceDE/>
        <w:autoSpaceDN/>
        <w:bidi w:val="0"/>
        <w:adjustRightInd/>
        <w:snapToGrid/>
        <w:spacing w:line="240" w:lineRule="auto"/>
        <w:ind w:left="788" w:leftChars="0" w:right="0" w:rightChars="0" w:hanging="363" w:firstLineChars="0"/>
        <w:jc w:val="both"/>
        <w:textAlignment w:val="auto"/>
        <w:outlineLvl w:val="9"/>
        <w:rPr>
          <w:rFonts w:ascii="微软雅黑" w:hAnsi="微软雅黑" w:eastAsia="微软雅黑"/>
          <w:sz w:val="18"/>
          <w:szCs w:val="18"/>
        </w:rPr>
      </w:pPr>
      <w:r>
        <w:rPr>
          <w:rFonts w:hint="eastAsia" w:ascii="微软雅黑" w:hAnsi="微软雅黑" w:eastAsia="微软雅黑"/>
          <w:sz w:val="18"/>
          <w:szCs w:val="18"/>
        </w:rPr>
        <w:t>加样反应（8min）；</w:t>
      </w:r>
    </w:p>
    <w:p>
      <w:pPr>
        <w:pStyle w:val="7"/>
        <w:keepNext w:val="0"/>
        <w:keepLines w:val="0"/>
        <w:pageBreakBefore w:val="0"/>
        <w:widowControl w:val="0"/>
        <w:numPr>
          <w:ilvl w:val="0"/>
          <w:numId w:val="4"/>
        </w:numPr>
        <w:kinsoku/>
        <w:wordWrap/>
        <w:overflowPunct/>
        <w:topLinePunct w:val="0"/>
        <w:autoSpaceDE/>
        <w:autoSpaceDN/>
        <w:bidi w:val="0"/>
        <w:adjustRightInd/>
        <w:snapToGrid/>
        <w:spacing w:line="240" w:lineRule="auto"/>
        <w:ind w:left="788" w:leftChars="0" w:right="0" w:rightChars="0" w:hanging="363" w:firstLineChars="0"/>
        <w:jc w:val="both"/>
        <w:textAlignment w:val="auto"/>
        <w:outlineLvl w:val="9"/>
        <w:rPr>
          <w:rFonts w:ascii="微软雅黑" w:hAnsi="微软雅黑" w:eastAsia="微软雅黑"/>
          <w:sz w:val="18"/>
          <w:szCs w:val="18"/>
        </w:rPr>
      </w:pPr>
      <w:r>
        <w:rPr>
          <w:rFonts w:hint="eastAsia" w:ascii="微软雅黑" w:hAnsi="微软雅黑" w:eastAsia="微软雅黑"/>
          <w:sz w:val="18"/>
          <w:szCs w:val="18"/>
        </w:rPr>
        <w:t>读数，打印检测报告；</w:t>
      </w:r>
    </w:p>
    <w:p>
      <w:pPr>
        <w:pStyle w:val="7"/>
        <w:spacing w:line="360" w:lineRule="auto"/>
        <w:ind w:left="426" w:firstLine="0" w:firstLineChars="0"/>
        <w:rPr>
          <w:rFonts w:ascii="微软雅黑" w:hAnsi="微软雅黑" w:eastAsia="微软雅黑"/>
          <w:b/>
          <w:sz w:val="18"/>
          <w:szCs w:val="18"/>
        </w:rPr>
      </w:pPr>
      <w:r>
        <w:rPr>
          <w:rFonts w:ascii="微软雅黑" w:hAnsi="微软雅黑" w:eastAsia="微软雅黑"/>
          <w:b/>
          <w:sz w:val="18"/>
          <w:szCs w:val="18"/>
        </w:rPr>
        <w:drawing>
          <wp:inline distT="0" distB="0" distL="0" distR="0">
            <wp:extent cx="4735830" cy="1027430"/>
            <wp:effectExtent l="0" t="0" r="7620" b="1270"/>
            <wp:docPr id="14" name="图片 13" descr="检测过程示意图20170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检测过程示意图20170911.png"/>
                    <pic:cNvPicPr>
                      <a:picLocks noChangeAspect="1"/>
                    </pic:cNvPicPr>
                  </pic:nvPicPr>
                  <pic:blipFill>
                    <a:blip r:embed="rId10" cstate="print"/>
                    <a:stretch>
                      <a:fillRect/>
                    </a:stretch>
                  </pic:blipFill>
                  <pic:spPr>
                    <a:xfrm>
                      <a:off x="0" y="0"/>
                      <a:ext cx="4744331" cy="1029290"/>
                    </a:xfrm>
                    <a:prstGeom prst="rect">
                      <a:avLst/>
                    </a:prstGeom>
                  </pic:spPr>
                </pic:pic>
              </a:graphicData>
            </a:graphic>
          </wp:inline>
        </w:drawing>
      </w:r>
    </w:p>
    <w:p>
      <w:pPr>
        <w:pStyle w:val="7"/>
        <w:numPr>
          <w:ilvl w:val="0"/>
          <w:numId w:val="0"/>
        </w:numPr>
        <w:spacing w:line="360" w:lineRule="auto"/>
        <w:ind w:leftChars="0"/>
        <w:rPr>
          <w:rFonts w:ascii="微软雅黑" w:hAnsi="微软雅黑" w:eastAsia="微软雅黑"/>
          <w:b/>
          <w:color w:val="00B050"/>
          <w:sz w:val="18"/>
          <w:szCs w:val="18"/>
        </w:rPr>
      </w:pPr>
    </w:p>
    <w:p>
      <w:pPr>
        <w:pStyle w:val="7"/>
        <w:numPr>
          <w:ilvl w:val="1"/>
          <w:numId w:val="2"/>
        </w:numPr>
        <w:spacing w:line="360" w:lineRule="auto"/>
        <w:ind w:left="426" w:hanging="426" w:firstLineChars="0"/>
        <w:rPr>
          <w:rFonts w:ascii="微软雅黑" w:hAnsi="微软雅黑" w:eastAsia="微软雅黑"/>
          <w:b/>
          <w:color w:val="00B050"/>
          <w:sz w:val="18"/>
          <w:szCs w:val="18"/>
        </w:rPr>
      </w:pPr>
      <w:r>
        <w:rPr>
          <w:rFonts w:hint="eastAsia" w:ascii="微软雅黑" w:hAnsi="微软雅黑" w:eastAsia="微软雅黑"/>
          <w:b/>
          <w:color w:val="00B050"/>
          <w:sz w:val="18"/>
          <w:szCs w:val="18"/>
        </w:rPr>
        <w:t>结果判读和输出</w:t>
      </w:r>
    </w:p>
    <w:p>
      <w:pPr>
        <w:spacing w:line="360" w:lineRule="auto"/>
        <w:ind w:firstLine="360" w:firstLineChars="200"/>
        <w:rPr>
          <w:rFonts w:ascii="微软雅黑" w:hAnsi="微软雅黑" w:eastAsia="微软雅黑"/>
          <w:sz w:val="18"/>
          <w:szCs w:val="18"/>
        </w:rPr>
      </w:pPr>
      <w:r>
        <w:rPr>
          <w:rFonts w:hint="eastAsia" w:ascii="微软雅黑" w:hAnsi="微软雅黑" w:eastAsia="微软雅黑"/>
          <w:sz w:val="18"/>
          <w:szCs w:val="18"/>
        </w:rPr>
        <w:t>采用便携式</w:t>
      </w:r>
      <w:r>
        <w:rPr>
          <w:rFonts w:hint="eastAsia" w:ascii="微软雅黑" w:hAnsi="微软雅黑" w:eastAsia="微软雅黑"/>
          <w:sz w:val="18"/>
          <w:szCs w:val="18"/>
          <w:lang w:val="en-US" w:eastAsia="zh-CN"/>
        </w:rPr>
        <w:t>真菌毒素</w:t>
      </w:r>
      <w:r>
        <w:rPr>
          <w:rFonts w:hint="eastAsia" w:ascii="微软雅黑" w:hAnsi="微软雅黑" w:eastAsia="微软雅黑"/>
          <w:sz w:val="18"/>
          <w:szCs w:val="18"/>
        </w:rPr>
        <w:t>检测仪进行读数，使得检测结果更加准确、客观，避免人为的误判。</w:t>
      </w:r>
    </w:p>
    <w:p>
      <w:pPr>
        <w:spacing w:line="360" w:lineRule="auto"/>
        <w:rPr>
          <w:rFonts w:ascii="微软雅黑" w:hAnsi="微软雅黑" w:eastAsia="微软雅黑"/>
          <w:sz w:val="18"/>
          <w:szCs w:val="18"/>
        </w:rPr>
      </w:pPr>
      <w:r>
        <w:rPr>
          <w:rFonts w:hint="eastAsia" w:ascii="微软雅黑" w:hAnsi="微软雅黑" w:eastAsia="微软雅黑"/>
          <w:sz w:val="18"/>
          <w:szCs w:val="18"/>
        </w:rPr>
        <w:t xml:space="preserve">    检测结果将呈现于荧光读数仪液晶显示屏上，同时可按打印键打印获得纸质的检测报告，另外，开通仪器的WIFI数据上传功能后，检测相关数据信息将自动上传至“食品安全溯源管理云平台”，便于溯源及质量管理。</w:t>
      </w:r>
    </w:p>
    <w:p>
      <w:pPr>
        <w:spacing w:line="360" w:lineRule="auto"/>
        <w:jc w:val="center"/>
        <w:rPr>
          <w:rFonts w:ascii="微软雅黑" w:hAnsi="微软雅黑" w:eastAsia="微软雅黑"/>
          <w:b/>
          <w:sz w:val="18"/>
          <w:szCs w:val="18"/>
        </w:rPr>
      </w:pPr>
      <w:r>
        <w:rPr>
          <w:rFonts w:ascii="微软雅黑" w:hAnsi="微软雅黑" w:eastAsia="微软雅黑"/>
          <w:b/>
          <w:sz w:val="18"/>
          <w:szCs w:val="18"/>
        </w:rPr>
        <w:drawing>
          <wp:inline distT="0" distB="0" distL="0" distR="0">
            <wp:extent cx="2442210" cy="1526540"/>
            <wp:effectExtent l="0" t="0" r="15240" b="16510"/>
            <wp:docPr id="11" name="图片 10" descr="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a111.jpg"/>
                    <pic:cNvPicPr>
                      <a:picLocks noChangeAspect="1"/>
                    </pic:cNvPicPr>
                  </pic:nvPicPr>
                  <pic:blipFill>
                    <a:blip r:embed="rId11"/>
                    <a:stretch>
                      <a:fillRect/>
                    </a:stretch>
                  </pic:blipFill>
                  <pic:spPr>
                    <a:xfrm>
                      <a:off x="0" y="0"/>
                      <a:ext cx="2448839" cy="1530524"/>
                    </a:xfrm>
                    <a:prstGeom prst="rect">
                      <a:avLst/>
                    </a:prstGeom>
                  </pic:spPr>
                </pic:pic>
              </a:graphicData>
            </a:graphic>
          </wp:inline>
        </w:drawing>
      </w:r>
      <w:r>
        <w:rPr>
          <w:rFonts w:hint="eastAsia" w:ascii="微软雅黑" w:hAnsi="微软雅黑" w:eastAsia="微软雅黑"/>
          <w:b/>
          <w:sz w:val="18"/>
          <w:szCs w:val="18"/>
        </w:rPr>
        <w:t xml:space="preserve">           </w:t>
      </w:r>
      <w:r>
        <w:rPr>
          <w:rFonts w:ascii="微软雅黑" w:hAnsi="微软雅黑" w:eastAsia="微软雅黑"/>
          <w:b/>
          <w:sz w:val="18"/>
          <w:szCs w:val="18"/>
        </w:rPr>
        <w:drawing>
          <wp:inline distT="0" distB="0" distL="0" distR="0">
            <wp:extent cx="2056130" cy="1577975"/>
            <wp:effectExtent l="0" t="0" r="1270" b="3175"/>
            <wp:docPr id="12" name="图片 11" descr="IMG_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0025.png"/>
                    <pic:cNvPicPr>
                      <a:picLocks noChangeAspect="1"/>
                    </pic:cNvPicPr>
                  </pic:nvPicPr>
                  <pic:blipFill>
                    <a:blip r:embed="rId12"/>
                    <a:stretch>
                      <a:fillRect/>
                    </a:stretch>
                  </pic:blipFill>
                  <pic:spPr>
                    <a:xfrm>
                      <a:off x="0" y="0"/>
                      <a:ext cx="2058857" cy="1580054"/>
                    </a:xfrm>
                    <a:prstGeom prst="rect">
                      <a:avLst/>
                    </a:prstGeom>
                  </pic:spPr>
                </pic:pic>
              </a:graphicData>
            </a:graphic>
          </wp:inline>
        </w:drawing>
      </w:r>
    </w:p>
    <w:p>
      <w:pPr>
        <w:spacing w:line="360" w:lineRule="auto"/>
        <w:jc w:val="center"/>
        <w:rPr>
          <w:rFonts w:ascii="微软雅黑" w:hAnsi="微软雅黑" w:eastAsia="微软雅黑"/>
          <w:b/>
          <w:sz w:val="18"/>
          <w:szCs w:val="18"/>
        </w:rPr>
      </w:pPr>
    </w:p>
    <w:p>
      <w:pPr>
        <w:pStyle w:val="7"/>
        <w:numPr>
          <w:ilvl w:val="1"/>
          <w:numId w:val="2"/>
        </w:numPr>
        <w:spacing w:line="360" w:lineRule="auto"/>
        <w:ind w:left="426" w:hanging="426" w:firstLineChars="0"/>
        <w:rPr>
          <w:rFonts w:ascii="微软雅黑" w:hAnsi="微软雅黑" w:eastAsia="微软雅黑"/>
          <w:b/>
          <w:color w:val="00B050"/>
          <w:sz w:val="18"/>
          <w:szCs w:val="18"/>
        </w:rPr>
      </w:pPr>
      <w:r>
        <w:rPr>
          <w:rFonts w:hint="eastAsia" w:ascii="微软雅黑" w:hAnsi="微软雅黑" w:eastAsia="微软雅黑"/>
          <w:b/>
          <w:color w:val="00B050"/>
          <w:sz w:val="18"/>
          <w:szCs w:val="18"/>
        </w:rPr>
        <w:t xml:space="preserve">上海飞测生物真菌毒素系列荧光定量检测试纸条产品亮点 </w:t>
      </w:r>
    </w:p>
    <w:p>
      <w:pPr>
        <w:pStyle w:val="7"/>
        <w:numPr>
          <w:ilvl w:val="0"/>
          <w:numId w:val="5"/>
        </w:numPr>
        <w:spacing w:line="360" w:lineRule="auto"/>
        <w:ind w:firstLineChars="0"/>
        <w:rPr>
          <w:rFonts w:ascii="微软雅黑" w:hAnsi="微软雅黑" w:eastAsia="微软雅黑"/>
          <w:sz w:val="18"/>
          <w:szCs w:val="18"/>
        </w:rPr>
      </w:pPr>
      <w:r>
        <w:rPr>
          <w:rFonts w:hint="eastAsia" w:ascii="微软雅黑" w:hAnsi="微软雅黑" w:eastAsia="微软雅黑"/>
          <w:b/>
          <w:sz w:val="18"/>
          <w:szCs w:val="18"/>
        </w:rPr>
        <w:t>8min快速定量</w:t>
      </w:r>
      <w:r>
        <w:rPr>
          <w:rFonts w:hint="eastAsia" w:ascii="微软雅黑" w:hAnsi="微软雅黑" w:eastAsia="微软雅黑"/>
          <w:sz w:val="18"/>
          <w:szCs w:val="18"/>
        </w:rPr>
        <w:t>：</w:t>
      </w:r>
      <w:r>
        <w:rPr>
          <w:rFonts w:hint="eastAsia" w:ascii="微软雅黑" w:hAnsi="微软雅黑" w:eastAsia="微软雅黑"/>
          <w:sz w:val="18"/>
          <w:szCs w:val="18"/>
          <w:lang w:val="en-US" w:eastAsia="zh-CN"/>
        </w:rPr>
        <w:t xml:space="preserve"> </w:t>
      </w:r>
      <w:r>
        <w:rPr>
          <w:rFonts w:hint="eastAsia" w:ascii="微软雅黑" w:hAnsi="微软雅黑" w:eastAsia="微软雅黑"/>
          <w:sz w:val="18"/>
          <w:szCs w:val="18"/>
        </w:rPr>
        <w:t>集胶体金快速检测、酶联免疫定量检测、色谱质谱准确检测的特点于一身，实现8min内真菌毒素的快速准确定量检测，检测结果可现场打印；</w:t>
      </w:r>
    </w:p>
    <w:p>
      <w:pPr>
        <w:pStyle w:val="7"/>
        <w:numPr>
          <w:ilvl w:val="0"/>
          <w:numId w:val="5"/>
        </w:numPr>
        <w:spacing w:line="360" w:lineRule="auto"/>
        <w:ind w:firstLineChars="0"/>
        <w:rPr>
          <w:rFonts w:ascii="微软雅黑" w:hAnsi="微软雅黑" w:eastAsia="微软雅黑"/>
          <w:sz w:val="18"/>
          <w:szCs w:val="18"/>
        </w:rPr>
      </w:pPr>
      <w:r>
        <w:rPr>
          <w:rFonts w:hint="eastAsia" w:ascii="微软雅黑" w:hAnsi="微软雅黑" w:eastAsia="微软雅黑"/>
          <w:b/>
          <w:sz w:val="18"/>
          <w:szCs w:val="18"/>
        </w:rPr>
        <w:t>内置定量标准曲线</w:t>
      </w:r>
      <w:r>
        <w:rPr>
          <w:rFonts w:hint="eastAsia" w:ascii="微软雅黑" w:hAnsi="微软雅黑" w:eastAsia="微软雅黑"/>
          <w:sz w:val="18"/>
          <w:szCs w:val="18"/>
        </w:rPr>
        <w:t>：仪器内置标准曲线，无需检测时再做标准曲线，既节省了成本，也避免了操作人员与真菌毒素的接触，保护操作人员的安全；</w:t>
      </w:r>
    </w:p>
    <w:p>
      <w:pPr>
        <w:pStyle w:val="7"/>
        <w:numPr>
          <w:ilvl w:val="0"/>
          <w:numId w:val="5"/>
        </w:numPr>
        <w:spacing w:line="360" w:lineRule="auto"/>
        <w:ind w:firstLineChars="0"/>
        <w:rPr>
          <w:rFonts w:ascii="微软雅黑" w:hAnsi="微软雅黑" w:eastAsia="微软雅黑"/>
          <w:sz w:val="18"/>
          <w:szCs w:val="18"/>
        </w:rPr>
      </w:pPr>
      <w:r>
        <w:rPr>
          <w:rFonts w:hint="eastAsia" w:ascii="微软雅黑" w:hAnsi="微软雅黑" w:eastAsia="微软雅黑"/>
          <w:b/>
          <w:sz w:val="18"/>
          <w:szCs w:val="18"/>
        </w:rPr>
        <w:t>随到随检</w:t>
      </w:r>
      <w:r>
        <w:rPr>
          <w:rFonts w:hint="eastAsia" w:ascii="微软雅黑" w:hAnsi="微软雅黑" w:eastAsia="微软雅黑"/>
          <w:sz w:val="18"/>
          <w:szCs w:val="18"/>
        </w:rPr>
        <w:t>：对检测样本量无要求，既可单个或少量样本随到随检，也可大量样本同时检测，并可实现现场检测；</w:t>
      </w:r>
    </w:p>
    <w:p>
      <w:pPr>
        <w:pStyle w:val="7"/>
        <w:numPr>
          <w:ilvl w:val="0"/>
          <w:numId w:val="5"/>
        </w:numPr>
        <w:spacing w:line="360" w:lineRule="auto"/>
        <w:ind w:firstLineChars="0"/>
        <w:rPr>
          <w:rFonts w:ascii="微软雅黑" w:hAnsi="微软雅黑" w:eastAsia="微软雅黑"/>
          <w:sz w:val="18"/>
          <w:szCs w:val="18"/>
        </w:rPr>
      </w:pPr>
      <w:r>
        <w:rPr>
          <w:rFonts w:hint="eastAsia" w:ascii="微软雅黑" w:hAnsi="微软雅黑" w:eastAsia="微软雅黑"/>
          <w:b/>
          <w:sz w:val="18"/>
          <w:szCs w:val="18"/>
        </w:rPr>
        <w:t>过程简便</w:t>
      </w:r>
      <w:r>
        <w:rPr>
          <w:rFonts w:hint="eastAsia" w:ascii="微软雅黑" w:hAnsi="微软雅黑" w:eastAsia="微软雅黑"/>
          <w:sz w:val="18"/>
          <w:szCs w:val="18"/>
        </w:rPr>
        <w:t>：样品前处理简便，操作简单，也无需对检测样本提取液进行任何pH的调节；</w:t>
      </w:r>
    </w:p>
    <w:p>
      <w:pPr>
        <w:pStyle w:val="7"/>
        <w:numPr>
          <w:ilvl w:val="0"/>
          <w:numId w:val="5"/>
        </w:numPr>
        <w:spacing w:line="360" w:lineRule="auto"/>
        <w:ind w:firstLineChars="0"/>
        <w:rPr>
          <w:rFonts w:ascii="微软雅黑" w:hAnsi="微软雅黑" w:eastAsia="微软雅黑"/>
          <w:sz w:val="18"/>
          <w:szCs w:val="18"/>
        </w:rPr>
      </w:pPr>
      <w:r>
        <w:rPr>
          <w:rFonts w:hint="eastAsia" w:ascii="微软雅黑" w:hAnsi="微软雅黑" w:eastAsia="微软雅黑"/>
          <w:b/>
          <w:sz w:val="18"/>
          <w:szCs w:val="18"/>
        </w:rPr>
        <w:t>配置要求低</w:t>
      </w:r>
      <w:r>
        <w:rPr>
          <w:rFonts w:hint="eastAsia" w:ascii="微软雅黑" w:hAnsi="微软雅黑" w:eastAsia="微软雅黑"/>
          <w:sz w:val="18"/>
          <w:szCs w:val="18"/>
        </w:rPr>
        <w:t>：对配套的仪器设备及人员要求低，最低仪器配置仅需1台天平、1把100ul和1ml移液器即可，操作人员仅需短期培训就能熟练掌握；</w:t>
      </w:r>
    </w:p>
    <w:p>
      <w:pPr>
        <w:pStyle w:val="7"/>
        <w:numPr>
          <w:ilvl w:val="0"/>
          <w:numId w:val="5"/>
        </w:numPr>
        <w:spacing w:line="360" w:lineRule="auto"/>
        <w:ind w:firstLineChars="0"/>
        <w:rPr>
          <w:rFonts w:ascii="微软雅黑" w:hAnsi="微软雅黑" w:eastAsia="微软雅黑"/>
          <w:sz w:val="18"/>
          <w:szCs w:val="18"/>
        </w:rPr>
      </w:pPr>
      <w:r>
        <w:rPr>
          <w:rFonts w:hint="eastAsia" w:ascii="微软雅黑" w:hAnsi="微软雅黑" w:eastAsia="微软雅黑"/>
          <w:b/>
          <w:sz w:val="18"/>
          <w:szCs w:val="18"/>
        </w:rPr>
        <w:t>远程网络支持</w:t>
      </w:r>
      <w:r>
        <w:rPr>
          <w:rFonts w:hint="eastAsia" w:ascii="微软雅黑" w:hAnsi="微软雅黑" w:eastAsia="微软雅黑"/>
          <w:sz w:val="18"/>
          <w:szCs w:val="18"/>
        </w:rPr>
        <w:t>：仪器可通过网络自动进行标准曲线读取、软件升级、问题故障诊断、质量控制等；</w:t>
      </w:r>
    </w:p>
    <w:p>
      <w:pPr>
        <w:pStyle w:val="7"/>
        <w:numPr>
          <w:ilvl w:val="0"/>
          <w:numId w:val="5"/>
        </w:numPr>
        <w:spacing w:line="360" w:lineRule="auto"/>
        <w:ind w:firstLineChars="0"/>
        <w:rPr>
          <w:rFonts w:hint="eastAsia" w:ascii="微软雅黑" w:hAnsi="微软雅黑" w:eastAsia="微软雅黑"/>
          <w:sz w:val="18"/>
          <w:szCs w:val="18"/>
        </w:rPr>
      </w:pPr>
      <w:r>
        <w:rPr>
          <w:rFonts w:hint="eastAsia" w:ascii="微软雅黑" w:hAnsi="微软雅黑" w:eastAsia="微软雅黑"/>
          <w:b/>
          <w:sz w:val="18"/>
          <w:szCs w:val="18"/>
        </w:rPr>
        <w:t>性价比高</w:t>
      </w:r>
      <w:r>
        <w:rPr>
          <w:rFonts w:hint="eastAsia" w:ascii="微软雅黑" w:hAnsi="微软雅黑" w:eastAsia="微软雅黑"/>
          <w:sz w:val="18"/>
          <w:szCs w:val="18"/>
        </w:rPr>
        <w:t>：花胶体金试纸条的价格，获得色谱质谱检测的质量和结果，并且节省人力物力，大幅降低检测费用；</w:t>
      </w:r>
    </w:p>
    <w:p>
      <w:pPr>
        <w:pStyle w:val="7"/>
        <w:numPr>
          <w:ilvl w:val="0"/>
          <w:numId w:val="0"/>
        </w:numPr>
        <w:spacing w:line="360" w:lineRule="auto"/>
        <w:ind w:leftChars="0"/>
        <w:rPr>
          <w:rFonts w:ascii="微软雅黑" w:hAnsi="微软雅黑" w:eastAsia="微软雅黑"/>
          <w:sz w:val="18"/>
          <w:szCs w:val="18"/>
        </w:rPr>
      </w:pPr>
    </w:p>
    <w:p>
      <w:pPr>
        <w:pStyle w:val="7"/>
        <w:numPr>
          <w:ilvl w:val="1"/>
          <w:numId w:val="2"/>
        </w:numPr>
        <w:spacing w:line="360" w:lineRule="auto"/>
        <w:ind w:left="426" w:hanging="426" w:firstLineChars="0"/>
        <w:rPr>
          <w:rFonts w:ascii="微软雅黑" w:hAnsi="微软雅黑" w:eastAsia="微软雅黑"/>
          <w:b/>
          <w:color w:val="00B050"/>
          <w:sz w:val="18"/>
          <w:szCs w:val="18"/>
        </w:rPr>
      </w:pPr>
      <w:r>
        <w:rPr>
          <w:rFonts w:hint="eastAsia" w:ascii="微软雅黑" w:hAnsi="微软雅黑" w:eastAsia="微软雅黑"/>
          <w:b/>
          <w:color w:val="00B050"/>
          <w:sz w:val="18"/>
          <w:szCs w:val="18"/>
        </w:rPr>
        <w:t>上海飞测生物真菌毒素荧光定量检测试纸条性能</w:t>
      </w:r>
    </w:p>
    <w:tbl>
      <w:tblPr>
        <w:tblStyle w:val="8"/>
        <w:tblW w:w="9215" w:type="dxa"/>
        <w:tblInd w:w="-318"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1"/>
        <w:gridCol w:w="3084"/>
        <w:gridCol w:w="1701"/>
        <w:gridCol w:w="1701"/>
        <w:gridCol w:w="1418"/>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11" w:type="dxa"/>
            <w:tcBorders>
              <w:top w:val="single" w:color="000000" w:themeColor="text1" w:sz="8" w:space="0"/>
              <w:left w:val="nil"/>
              <w:bottom w:val="single" w:color="000000" w:themeColor="text1" w:sz="8" w:space="0"/>
              <w:right w:val="nil"/>
              <w:insideH w:val="single" w:sz="8" w:space="0"/>
              <w:insideV w:val="nil"/>
            </w:tcBorders>
            <w:vAlign w:val="center"/>
          </w:tcPr>
          <w:p>
            <w:pPr>
              <w:widowControl/>
              <w:spacing w:before="0" w:after="0"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产品编号</w:t>
            </w:r>
          </w:p>
        </w:tc>
        <w:tc>
          <w:tcPr>
            <w:tcW w:w="3084" w:type="dxa"/>
            <w:tcBorders>
              <w:top w:val="single" w:color="000000" w:themeColor="text1" w:sz="8" w:space="0"/>
              <w:bottom w:val="single" w:color="000000" w:themeColor="text1" w:sz="8" w:space="0"/>
              <w:right w:val="nil"/>
              <w:insideH w:val="single" w:sz="8" w:space="0"/>
              <w:insideV w:val="nil"/>
            </w:tcBorders>
            <w:vAlign w:val="center"/>
          </w:tcPr>
          <w:p>
            <w:pPr>
              <w:widowControl/>
              <w:spacing w:before="0" w:after="0"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产品名称</w:t>
            </w:r>
          </w:p>
        </w:tc>
        <w:tc>
          <w:tcPr>
            <w:tcW w:w="1701" w:type="dxa"/>
            <w:tcBorders>
              <w:top w:val="single" w:color="000000" w:themeColor="text1" w:sz="8" w:space="0"/>
              <w:bottom w:val="single" w:color="000000" w:themeColor="text1" w:sz="8" w:space="0"/>
              <w:right w:val="nil"/>
              <w:insideH w:val="single" w:sz="8" w:space="0"/>
              <w:insideV w:val="nil"/>
            </w:tcBorders>
            <w:vAlign w:val="center"/>
          </w:tcPr>
          <w:p>
            <w:pPr>
              <w:widowControl/>
              <w:spacing w:before="0" w:after="0"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定量产品灵敏度</w:t>
            </w:r>
          </w:p>
        </w:tc>
        <w:tc>
          <w:tcPr>
            <w:tcW w:w="1701" w:type="dxa"/>
            <w:tcBorders>
              <w:top w:val="single" w:color="000000" w:themeColor="text1" w:sz="8" w:space="0"/>
              <w:bottom w:val="single" w:color="000000" w:themeColor="text1" w:sz="8" w:space="0"/>
              <w:right w:val="nil"/>
              <w:insideH w:val="single" w:sz="8" w:space="0"/>
              <w:insideV w:val="nil"/>
            </w:tcBorders>
            <w:vAlign w:val="center"/>
          </w:tcPr>
          <w:p>
            <w:pPr>
              <w:widowControl/>
              <w:spacing w:before="0" w:after="0"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定量范围</w:t>
            </w:r>
          </w:p>
        </w:tc>
        <w:tc>
          <w:tcPr>
            <w:tcW w:w="1418" w:type="dxa"/>
            <w:tcBorders>
              <w:top w:val="single" w:color="000000" w:themeColor="text1" w:sz="8" w:space="0"/>
              <w:bottom w:val="single" w:color="000000" w:themeColor="text1" w:sz="8" w:space="0"/>
              <w:right w:val="nil"/>
              <w:insideH w:val="single" w:sz="8" w:space="0"/>
              <w:insideV w:val="nil"/>
            </w:tcBorders>
            <w:vAlign w:val="center"/>
          </w:tcPr>
          <w:p>
            <w:pPr>
              <w:widowControl/>
              <w:spacing w:before="0" w:after="0"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检测时间</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7" w:hRule="atLeast"/>
        </w:trPr>
        <w:tc>
          <w:tcPr>
            <w:tcW w:w="1311" w:type="dxa"/>
            <w:tcBorders>
              <w:top w:val="single" w:color="000000" w:themeColor="text1" w:sz="8" w:space="0"/>
              <w:left w:val="nil"/>
              <w:bottom w:val="nil"/>
              <w:right w:val="nil"/>
              <w:insideV w:val="nil"/>
            </w:tcBorders>
            <w:shd w:val="clear" w:color="auto" w:fill="auto"/>
            <w:vAlign w:val="center"/>
          </w:tcPr>
          <w:p>
            <w:pPr>
              <w:widowControl/>
              <w:spacing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FAFB02</w:t>
            </w:r>
          </w:p>
        </w:tc>
        <w:tc>
          <w:tcPr>
            <w:tcW w:w="3084" w:type="dxa"/>
            <w:tcBorders>
              <w:top w:val="single" w:color="000000" w:themeColor="text1" w:sz="8" w:space="0"/>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黄曲霉毒素B1荧光定量检测试纸条</w:t>
            </w:r>
          </w:p>
        </w:tc>
        <w:tc>
          <w:tcPr>
            <w:tcW w:w="1701" w:type="dxa"/>
            <w:tcBorders>
              <w:top w:val="single" w:color="000000" w:themeColor="text1" w:sz="8" w:space="0"/>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0.5 μg/kg</w:t>
            </w:r>
          </w:p>
        </w:tc>
        <w:tc>
          <w:tcPr>
            <w:tcW w:w="1701" w:type="dxa"/>
            <w:tcBorders>
              <w:top w:val="single" w:color="000000" w:themeColor="text1" w:sz="8" w:space="0"/>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1-75 μg/kg</w:t>
            </w:r>
          </w:p>
        </w:tc>
        <w:tc>
          <w:tcPr>
            <w:tcW w:w="1418" w:type="dxa"/>
            <w:tcBorders>
              <w:top w:val="single" w:color="000000" w:themeColor="text1" w:sz="8" w:space="0"/>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10 min</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311" w:type="dxa"/>
            <w:tcBorders>
              <w:top w:val="nil"/>
              <w:bottom w:val="nil"/>
            </w:tcBorders>
            <w:shd w:val="clear" w:color="auto" w:fill="auto"/>
            <w:vAlign w:val="center"/>
          </w:tcPr>
          <w:p>
            <w:pPr>
              <w:widowControl/>
              <w:spacing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FZEN02</w:t>
            </w:r>
          </w:p>
        </w:tc>
        <w:tc>
          <w:tcPr>
            <w:tcW w:w="3084" w:type="dxa"/>
            <w:tcBorders>
              <w:top w:val="nil"/>
              <w:bottom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lang w:val="en-US" w:eastAsia="zh-CN"/>
              </w:rPr>
              <w:t>玉米</w:t>
            </w:r>
            <w:r>
              <w:rPr>
                <w:rFonts w:hint="eastAsia" w:ascii="微软雅黑" w:hAnsi="微软雅黑" w:eastAsia="微软雅黑" w:cs="宋体"/>
                <w:color w:val="auto"/>
                <w:kern w:val="0"/>
                <w:sz w:val="18"/>
                <w:szCs w:val="18"/>
              </w:rPr>
              <w:t>赤霉烯酮荧光定量检测试纸条</w:t>
            </w:r>
          </w:p>
        </w:tc>
        <w:tc>
          <w:tcPr>
            <w:tcW w:w="1701" w:type="dxa"/>
            <w:tcBorders>
              <w:top w:val="nil"/>
              <w:bottom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5.0 μg/kg</w:t>
            </w:r>
          </w:p>
        </w:tc>
        <w:tc>
          <w:tcPr>
            <w:tcW w:w="1701" w:type="dxa"/>
            <w:tcBorders>
              <w:top w:val="nil"/>
              <w:bottom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10-1000 μg/kg</w:t>
            </w:r>
          </w:p>
        </w:tc>
        <w:tc>
          <w:tcPr>
            <w:tcW w:w="1418" w:type="dxa"/>
            <w:tcBorders>
              <w:top w:val="nil"/>
              <w:bottom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10 min</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11" w:type="dxa"/>
            <w:tcBorders>
              <w:top w:val="nil"/>
              <w:left w:val="nil"/>
              <w:bottom w:val="nil"/>
              <w:right w:val="nil"/>
              <w:insideV w:val="nil"/>
            </w:tcBorders>
            <w:shd w:val="clear" w:color="auto" w:fill="auto"/>
            <w:vAlign w:val="center"/>
          </w:tcPr>
          <w:p>
            <w:pPr>
              <w:widowControl/>
              <w:spacing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FOTA02</w:t>
            </w:r>
          </w:p>
        </w:tc>
        <w:tc>
          <w:tcPr>
            <w:tcW w:w="3084" w:type="dxa"/>
            <w:tcBorders>
              <w:top w:val="nil"/>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赭曲霉素A荧光定量检测试纸条</w:t>
            </w:r>
          </w:p>
        </w:tc>
        <w:tc>
          <w:tcPr>
            <w:tcW w:w="1701" w:type="dxa"/>
            <w:tcBorders>
              <w:top w:val="nil"/>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1.0 μg/kg</w:t>
            </w:r>
          </w:p>
        </w:tc>
        <w:tc>
          <w:tcPr>
            <w:tcW w:w="1701" w:type="dxa"/>
            <w:tcBorders>
              <w:top w:val="nil"/>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5-500 μg/kg</w:t>
            </w:r>
          </w:p>
        </w:tc>
        <w:tc>
          <w:tcPr>
            <w:tcW w:w="1418" w:type="dxa"/>
            <w:tcBorders>
              <w:top w:val="nil"/>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10 min</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2" w:hRule="atLeast"/>
        </w:trPr>
        <w:tc>
          <w:tcPr>
            <w:tcW w:w="1311" w:type="dxa"/>
            <w:tcBorders>
              <w:top w:val="nil"/>
              <w:bottom w:val="nil"/>
            </w:tcBorders>
            <w:shd w:val="clear" w:color="auto" w:fill="auto"/>
            <w:vAlign w:val="center"/>
          </w:tcPr>
          <w:p>
            <w:pPr>
              <w:widowControl/>
              <w:spacing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FDON02</w:t>
            </w:r>
          </w:p>
        </w:tc>
        <w:tc>
          <w:tcPr>
            <w:tcW w:w="3084" w:type="dxa"/>
            <w:tcBorders>
              <w:top w:val="nil"/>
              <w:bottom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呕吐毒素荧光定量检测试纸条</w:t>
            </w:r>
          </w:p>
        </w:tc>
        <w:tc>
          <w:tcPr>
            <w:tcW w:w="1701" w:type="dxa"/>
            <w:tcBorders>
              <w:top w:val="nil"/>
              <w:bottom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25 μg/kg</w:t>
            </w:r>
          </w:p>
        </w:tc>
        <w:tc>
          <w:tcPr>
            <w:tcW w:w="1701" w:type="dxa"/>
            <w:tcBorders>
              <w:top w:val="nil"/>
              <w:bottom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50-5000 μg/kg</w:t>
            </w:r>
          </w:p>
        </w:tc>
        <w:tc>
          <w:tcPr>
            <w:tcW w:w="1418" w:type="dxa"/>
            <w:tcBorders>
              <w:top w:val="nil"/>
              <w:bottom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10 min</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trPr>
        <w:tc>
          <w:tcPr>
            <w:tcW w:w="1311" w:type="dxa"/>
            <w:tcBorders>
              <w:top w:val="nil"/>
              <w:left w:val="nil"/>
              <w:bottom w:val="nil"/>
              <w:right w:val="nil"/>
              <w:insideV w:val="nil"/>
            </w:tcBorders>
            <w:shd w:val="clear" w:color="auto" w:fill="auto"/>
            <w:vAlign w:val="center"/>
          </w:tcPr>
          <w:p>
            <w:pPr>
              <w:widowControl/>
              <w:spacing w:line="316" w:lineRule="atLeast"/>
              <w:jc w:val="center"/>
              <w:rPr>
                <w:rFonts w:ascii="宋体" w:hAnsi="宋体" w:eastAsia="宋体" w:cs="宋体"/>
                <w:b w:val="0"/>
                <w:bCs/>
                <w:color w:val="auto"/>
                <w:kern w:val="0"/>
                <w:sz w:val="18"/>
                <w:szCs w:val="18"/>
              </w:rPr>
            </w:pPr>
            <w:r>
              <w:rPr>
                <w:rFonts w:hint="eastAsia" w:ascii="微软雅黑" w:hAnsi="微软雅黑" w:eastAsia="微软雅黑" w:cs="宋体"/>
                <w:b w:val="0"/>
                <w:bCs/>
                <w:color w:val="auto"/>
                <w:kern w:val="0"/>
                <w:sz w:val="18"/>
                <w:szCs w:val="18"/>
              </w:rPr>
              <w:t>FTS202</w:t>
            </w:r>
          </w:p>
        </w:tc>
        <w:tc>
          <w:tcPr>
            <w:tcW w:w="3084" w:type="dxa"/>
            <w:tcBorders>
              <w:top w:val="nil"/>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T-2毒素荧光定量检测试纸条</w:t>
            </w:r>
          </w:p>
        </w:tc>
        <w:tc>
          <w:tcPr>
            <w:tcW w:w="1701" w:type="dxa"/>
            <w:tcBorders>
              <w:top w:val="nil"/>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25 μg/kg</w:t>
            </w:r>
          </w:p>
        </w:tc>
        <w:tc>
          <w:tcPr>
            <w:tcW w:w="1701" w:type="dxa"/>
            <w:tcBorders>
              <w:top w:val="nil"/>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100-5000 μg/kg</w:t>
            </w:r>
          </w:p>
        </w:tc>
        <w:tc>
          <w:tcPr>
            <w:tcW w:w="1418" w:type="dxa"/>
            <w:tcBorders>
              <w:top w:val="nil"/>
              <w:bottom w:val="nil"/>
              <w:right w:val="nil"/>
              <w:insideV w:val="nil"/>
            </w:tcBorders>
            <w:shd w:val="clear" w:color="auto" w:fill="auto"/>
            <w:vAlign w:val="center"/>
          </w:tcPr>
          <w:p>
            <w:pPr>
              <w:widowControl/>
              <w:spacing w:line="316" w:lineRule="atLeast"/>
              <w:jc w:val="center"/>
              <w:rPr>
                <w:rFonts w:ascii="宋体" w:hAnsi="宋体" w:eastAsia="宋体" w:cs="宋体"/>
                <w:color w:val="auto"/>
                <w:kern w:val="0"/>
                <w:sz w:val="18"/>
                <w:szCs w:val="18"/>
              </w:rPr>
            </w:pPr>
            <w:r>
              <w:rPr>
                <w:rFonts w:hint="eastAsia" w:ascii="微软雅黑" w:hAnsi="微软雅黑" w:eastAsia="微软雅黑" w:cs="宋体"/>
                <w:color w:val="auto"/>
                <w:kern w:val="0"/>
                <w:sz w:val="18"/>
                <w:szCs w:val="18"/>
              </w:rPr>
              <w:t>10 min</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trPr>
        <w:tc>
          <w:tcPr>
            <w:tcW w:w="1311" w:type="dxa"/>
            <w:tcBorders>
              <w:top w:val="nil"/>
              <w:bottom w:val="single" w:color="000000" w:themeColor="text1" w:sz="8" w:space="0"/>
            </w:tcBorders>
            <w:shd w:val="clear" w:color="auto" w:fill="auto"/>
            <w:vAlign w:val="center"/>
          </w:tcPr>
          <w:p>
            <w:pPr>
              <w:widowControl/>
              <w:spacing w:line="316" w:lineRule="atLeast"/>
              <w:jc w:val="center"/>
              <w:rPr>
                <w:rFonts w:ascii="微软雅黑" w:hAnsi="微软雅黑" w:eastAsia="微软雅黑" w:cs="宋体"/>
                <w:b w:val="0"/>
                <w:bCs/>
                <w:color w:val="000000" w:themeColor="text1" w:themeShade="BF"/>
                <w:kern w:val="0"/>
                <w:sz w:val="18"/>
                <w:szCs w:val="18"/>
              </w:rPr>
            </w:pPr>
            <w:r>
              <w:rPr>
                <w:rFonts w:hint="eastAsia" w:ascii="微软雅黑" w:hAnsi="微软雅黑" w:eastAsia="微软雅黑" w:cs="宋体"/>
                <w:b w:val="0"/>
                <w:bCs/>
                <w:color w:val="000000" w:themeColor="text1" w:themeShade="BF"/>
                <w:kern w:val="0"/>
                <w:sz w:val="18"/>
                <w:szCs w:val="18"/>
              </w:rPr>
              <w:t>FFB102</w:t>
            </w:r>
          </w:p>
        </w:tc>
        <w:tc>
          <w:tcPr>
            <w:tcW w:w="3084" w:type="dxa"/>
            <w:tcBorders>
              <w:top w:val="nil"/>
              <w:bottom w:val="single" w:color="000000" w:themeColor="text1" w:sz="8" w:space="0"/>
            </w:tcBorders>
            <w:shd w:val="clear" w:color="auto" w:fill="auto"/>
            <w:vAlign w:val="center"/>
          </w:tcPr>
          <w:p>
            <w:pPr>
              <w:widowControl/>
              <w:spacing w:line="316" w:lineRule="atLeast"/>
              <w:jc w:val="center"/>
              <w:rPr>
                <w:rFonts w:ascii="微软雅黑" w:hAnsi="微软雅黑" w:eastAsia="微软雅黑" w:cs="宋体"/>
                <w:color w:val="000000" w:themeColor="text1" w:themeShade="BF"/>
                <w:kern w:val="0"/>
                <w:sz w:val="18"/>
                <w:szCs w:val="18"/>
              </w:rPr>
            </w:pPr>
            <w:r>
              <w:rPr>
                <w:rFonts w:hint="eastAsia" w:ascii="微软雅黑" w:hAnsi="微软雅黑" w:eastAsia="微软雅黑" w:cs="宋体"/>
                <w:color w:val="000000" w:themeColor="text1" w:themeShade="BF"/>
                <w:kern w:val="0"/>
                <w:sz w:val="18"/>
                <w:szCs w:val="18"/>
              </w:rPr>
              <w:t>伏马菌素</w:t>
            </w:r>
            <w:r>
              <w:rPr>
                <w:rFonts w:hint="eastAsia" w:ascii="微软雅黑" w:hAnsi="微软雅黑" w:eastAsia="微软雅黑" w:cs="宋体"/>
                <w:color w:val="auto"/>
                <w:kern w:val="0"/>
                <w:sz w:val="18"/>
                <w:szCs w:val="18"/>
              </w:rPr>
              <w:t>荧光定量检测试纸条</w:t>
            </w:r>
          </w:p>
        </w:tc>
        <w:tc>
          <w:tcPr>
            <w:tcW w:w="1701" w:type="dxa"/>
            <w:tcBorders>
              <w:top w:val="nil"/>
              <w:bottom w:val="single" w:color="000000" w:themeColor="text1" w:sz="8" w:space="0"/>
            </w:tcBorders>
            <w:shd w:val="clear" w:color="auto" w:fill="auto"/>
            <w:vAlign w:val="center"/>
          </w:tcPr>
          <w:p>
            <w:pPr>
              <w:widowControl/>
              <w:spacing w:line="316" w:lineRule="atLeast"/>
              <w:jc w:val="center"/>
              <w:rPr>
                <w:rFonts w:ascii="微软雅黑" w:hAnsi="微软雅黑" w:eastAsia="微软雅黑" w:cs="宋体"/>
                <w:color w:val="000000" w:themeColor="text1" w:themeShade="BF"/>
                <w:kern w:val="0"/>
                <w:sz w:val="18"/>
                <w:szCs w:val="18"/>
              </w:rPr>
            </w:pPr>
            <w:r>
              <w:rPr>
                <w:rFonts w:hint="eastAsia" w:ascii="微软雅黑" w:hAnsi="微软雅黑" w:eastAsia="微软雅黑" w:cs="宋体"/>
                <w:color w:val="000000" w:themeColor="text1" w:themeShade="BF"/>
                <w:kern w:val="0"/>
                <w:sz w:val="18"/>
                <w:szCs w:val="18"/>
              </w:rPr>
              <w:t xml:space="preserve">25 </w:t>
            </w:r>
            <w:r>
              <w:rPr>
                <w:rFonts w:hint="eastAsia" w:ascii="微软雅黑" w:hAnsi="微软雅黑" w:eastAsia="微软雅黑" w:cs="宋体"/>
                <w:color w:val="auto"/>
                <w:kern w:val="0"/>
                <w:sz w:val="18"/>
                <w:szCs w:val="18"/>
              </w:rPr>
              <w:t>μg/kg</w:t>
            </w:r>
          </w:p>
        </w:tc>
        <w:tc>
          <w:tcPr>
            <w:tcW w:w="1701" w:type="dxa"/>
            <w:tcBorders>
              <w:top w:val="nil"/>
              <w:bottom w:val="single" w:color="000000" w:themeColor="text1" w:sz="8" w:space="0"/>
            </w:tcBorders>
            <w:shd w:val="clear" w:color="auto" w:fill="auto"/>
            <w:vAlign w:val="center"/>
          </w:tcPr>
          <w:p>
            <w:pPr>
              <w:widowControl/>
              <w:spacing w:line="316" w:lineRule="atLeast"/>
              <w:jc w:val="center"/>
              <w:rPr>
                <w:rFonts w:ascii="微软雅黑" w:hAnsi="微软雅黑" w:eastAsia="微软雅黑" w:cs="宋体"/>
                <w:color w:val="000000" w:themeColor="text1" w:themeShade="BF"/>
                <w:kern w:val="0"/>
                <w:sz w:val="18"/>
                <w:szCs w:val="18"/>
              </w:rPr>
            </w:pPr>
            <w:r>
              <w:rPr>
                <w:rFonts w:hint="eastAsia" w:ascii="微软雅黑" w:hAnsi="微软雅黑" w:eastAsia="微软雅黑" w:cs="宋体"/>
                <w:color w:val="000000" w:themeColor="text1" w:themeShade="BF"/>
                <w:kern w:val="0"/>
                <w:sz w:val="18"/>
                <w:szCs w:val="18"/>
              </w:rPr>
              <w:t xml:space="preserve">100-5000 </w:t>
            </w:r>
            <w:r>
              <w:rPr>
                <w:rFonts w:hint="eastAsia" w:ascii="微软雅黑" w:hAnsi="微软雅黑" w:eastAsia="微软雅黑" w:cs="宋体"/>
                <w:color w:val="auto"/>
                <w:kern w:val="0"/>
                <w:sz w:val="18"/>
                <w:szCs w:val="18"/>
              </w:rPr>
              <w:t>μg/kg</w:t>
            </w:r>
          </w:p>
        </w:tc>
        <w:tc>
          <w:tcPr>
            <w:tcW w:w="1418" w:type="dxa"/>
            <w:tcBorders>
              <w:top w:val="nil"/>
              <w:bottom w:val="single" w:color="000000" w:themeColor="text1" w:sz="8" w:space="0"/>
            </w:tcBorders>
            <w:shd w:val="clear" w:color="auto" w:fill="auto"/>
            <w:vAlign w:val="center"/>
          </w:tcPr>
          <w:p>
            <w:pPr>
              <w:widowControl/>
              <w:spacing w:line="316" w:lineRule="atLeast"/>
              <w:jc w:val="center"/>
              <w:rPr>
                <w:rFonts w:ascii="微软雅黑" w:hAnsi="微软雅黑" w:eastAsia="微软雅黑" w:cs="宋体"/>
                <w:color w:val="000000" w:themeColor="text1" w:themeShade="BF"/>
                <w:kern w:val="0"/>
                <w:sz w:val="18"/>
                <w:szCs w:val="18"/>
              </w:rPr>
            </w:pPr>
            <w:r>
              <w:rPr>
                <w:rFonts w:hint="eastAsia" w:ascii="微软雅黑" w:hAnsi="微软雅黑" w:eastAsia="微软雅黑" w:cs="宋体"/>
                <w:color w:val="auto"/>
                <w:kern w:val="0"/>
                <w:sz w:val="18"/>
                <w:szCs w:val="18"/>
              </w:rPr>
              <w:t>10 min</w:t>
            </w:r>
          </w:p>
        </w:tc>
      </w:tr>
    </w:tbl>
    <w:p>
      <w:pPr>
        <w:pStyle w:val="7"/>
        <w:spacing w:line="360" w:lineRule="auto"/>
        <w:ind w:left="426" w:firstLine="0" w:firstLineChars="0"/>
        <w:rPr>
          <w:rFonts w:ascii="微软雅黑" w:hAnsi="微软雅黑" w:eastAsia="微软雅黑"/>
          <w:b/>
          <w:sz w:val="18"/>
          <w:szCs w:val="18"/>
        </w:rPr>
      </w:pPr>
    </w:p>
    <w:p>
      <w:pPr>
        <w:pStyle w:val="7"/>
        <w:spacing w:line="360" w:lineRule="auto"/>
        <w:ind w:left="426" w:firstLine="0" w:firstLineChars="0"/>
        <w:rPr>
          <w:rFonts w:ascii="微软雅黑" w:hAnsi="微软雅黑" w:eastAsia="微软雅黑"/>
          <w:b/>
          <w:sz w:val="18"/>
          <w:szCs w:val="18"/>
        </w:rPr>
      </w:pPr>
    </w:p>
    <w:p>
      <w:pPr>
        <w:spacing w:line="360" w:lineRule="auto"/>
        <w:jc w:val="center"/>
        <w:rPr>
          <w:rFonts w:ascii="微软雅黑" w:hAnsi="微软雅黑" w:eastAsia="微软雅黑"/>
          <w:sz w:val="18"/>
          <w:szCs w:val="18"/>
        </w:rPr>
      </w:pPr>
      <w:r>
        <w:rPr>
          <w:rFonts w:ascii="微软雅黑" w:hAnsi="微软雅黑" w:eastAsia="微软雅黑"/>
          <w:sz w:val="18"/>
          <w:szCs w:val="18"/>
        </w:rPr>
        <w:drawing>
          <wp:inline distT="0" distB="0" distL="0" distR="0">
            <wp:extent cx="2030730" cy="1596390"/>
            <wp:effectExtent l="12700" t="12700" r="13970" b="29210"/>
            <wp:docPr id="10" name="图片 1" descr="飞测微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飞测微讯.jpg"/>
                    <pic:cNvPicPr>
                      <a:picLocks noChangeAspect="1"/>
                    </pic:cNvPicPr>
                  </pic:nvPicPr>
                  <pic:blipFill>
                    <a:blip r:embed="rId13" cstate="print"/>
                    <a:srcRect/>
                    <a:stretch>
                      <a:fillRect/>
                    </a:stretch>
                  </pic:blipFill>
                  <pic:spPr>
                    <a:xfrm>
                      <a:off x="0" y="0"/>
                      <a:ext cx="2022781" cy="1590141"/>
                    </a:xfrm>
                    <a:prstGeom prst="rect">
                      <a:avLst/>
                    </a:prstGeom>
                    <a:noFill/>
                    <a:ln w="12700">
                      <a:solidFill>
                        <a:srgbClr val="007A37"/>
                      </a:solidFill>
                      <a:miter lim="800000"/>
                      <a:headEnd/>
                      <a:tailEnd/>
                    </a:ln>
                  </pic:spPr>
                </pic:pic>
              </a:graphicData>
            </a:graphic>
          </wp:inline>
        </w:drawing>
      </w:r>
    </w:p>
    <w:p>
      <w:pPr>
        <w:spacing w:line="360" w:lineRule="auto"/>
        <w:ind w:firstLine="420" w:firstLineChars="200"/>
        <w:jc w:val="center"/>
        <w:rPr>
          <w:rFonts w:ascii="微软雅黑" w:hAnsi="微软雅黑" w:eastAsia="微软雅黑"/>
          <w:szCs w:val="21"/>
        </w:rPr>
      </w:pPr>
      <w:r>
        <w:rPr>
          <w:rFonts w:hint="eastAsia" w:ascii="微软雅黑" w:hAnsi="微软雅黑" w:eastAsia="微软雅黑"/>
          <w:b/>
          <w:bCs/>
          <w:szCs w:val="21"/>
        </w:rPr>
        <w:t>地址：上海市奉贤区生物科技园望园路2165弄5号321室</w:t>
      </w:r>
    </w:p>
    <w:p>
      <w:pPr>
        <w:spacing w:line="360" w:lineRule="auto"/>
        <w:ind w:firstLine="420" w:firstLineChars="200"/>
        <w:jc w:val="center"/>
        <w:rPr>
          <w:rFonts w:ascii="微软雅黑" w:hAnsi="微软雅黑" w:eastAsia="微软雅黑"/>
          <w:szCs w:val="21"/>
        </w:rPr>
      </w:pPr>
      <w:r>
        <w:rPr>
          <w:rFonts w:hint="eastAsia" w:ascii="微软雅黑" w:hAnsi="微软雅黑" w:eastAsia="微软雅黑"/>
          <w:b/>
          <w:bCs/>
          <w:szCs w:val="21"/>
        </w:rPr>
        <w:t>邮编：200401</w:t>
      </w:r>
    </w:p>
    <w:p>
      <w:pPr>
        <w:spacing w:line="360" w:lineRule="auto"/>
        <w:ind w:firstLine="420" w:firstLineChars="200"/>
        <w:jc w:val="center"/>
        <w:rPr>
          <w:rFonts w:ascii="微软雅黑" w:hAnsi="微软雅黑" w:eastAsia="微软雅黑"/>
          <w:szCs w:val="21"/>
        </w:rPr>
      </w:pPr>
      <w:r>
        <w:rPr>
          <w:rFonts w:hint="eastAsia" w:ascii="微软雅黑" w:hAnsi="微软雅黑" w:eastAsia="微软雅黑"/>
          <w:b/>
          <w:bCs/>
          <w:szCs w:val="21"/>
        </w:rPr>
        <w:t>电话：021-22810403</w:t>
      </w:r>
    </w:p>
    <w:p>
      <w:pPr>
        <w:spacing w:line="360" w:lineRule="auto"/>
        <w:ind w:firstLine="420" w:firstLineChars="200"/>
        <w:jc w:val="center"/>
        <w:rPr>
          <w:rFonts w:ascii="微软雅黑" w:hAnsi="微软雅黑" w:eastAsia="微软雅黑"/>
          <w:szCs w:val="21"/>
        </w:rPr>
      </w:pPr>
      <w:r>
        <w:rPr>
          <w:rFonts w:hint="eastAsia" w:ascii="微软雅黑" w:hAnsi="微软雅黑" w:eastAsia="微软雅黑"/>
          <w:b/>
          <w:bCs/>
          <w:szCs w:val="21"/>
        </w:rPr>
        <w:t>技术支持：18019236108</w:t>
      </w:r>
    </w:p>
    <w:p>
      <w:pPr>
        <w:spacing w:line="360" w:lineRule="auto"/>
        <w:ind w:firstLine="420" w:firstLineChars="200"/>
        <w:jc w:val="center"/>
        <w:rPr>
          <w:rFonts w:ascii="微软雅黑" w:hAnsi="微软雅黑" w:eastAsia="微软雅黑"/>
          <w:szCs w:val="21"/>
        </w:rPr>
      </w:pPr>
      <w:r>
        <w:rPr>
          <w:rFonts w:hint="eastAsia" w:ascii="微软雅黑" w:hAnsi="微软雅黑" w:eastAsia="微软雅黑"/>
          <w:b/>
          <w:bCs/>
          <w:szCs w:val="21"/>
        </w:rPr>
        <w:t>网址：www.femdetection.com</w:t>
      </w:r>
    </w:p>
    <w:p>
      <w:pPr>
        <w:spacing w:line="360" w:lineRule="auto"/>
        <w:ind w:firstLine="420" w:firstLineChars="200"/>
        <w:jc w:val="center"/>
        <w:rPr>
          <w:rFonts w:ascii="微软雅黑" w:hAnsi="微软雅黑" w:eastAsia="微软雅黑"/>
          <w:szCs w:val="21"/>
        </w:rPr>
      </w:pPr>
      <w:r>
        <w:rPr>
          <w:rFonts w:hint="eastAsia" w:ascii="微软雅黑" w:hAnsi="微软雅黑" w:eastAsia="微软雅黑"/>
          <w:b/>
          <w:bCs/>
          <w:szCs w:val="21"/>
        </w:rPr>
        <w:t>邮箱：winston@femdetection.com</w:t>
      </w:r>
    </w:p>
    <w:p>
      <w:pPr>
        <w:spacing w:line="360" w:lineRule="auto"/>
        <w:ind w:firstLine="420" w:firstLineChars="200"/>
        <w:jc w:val="center"/>
        <w:rPr>
          <w:strike/>
          <w:dstrike w:val="0"/>
        </w:rPr>
      </w:pPr>
      <w:r>
        <w:rPr>
          <w:rFonts w:hint="eastAsia" w:ascii="微软雅黑" w:hAnsi="微软雅黑" w:eastAsia="微软雅黑"/>
          <w:b/>
          <w:bCs/>
          <w:szCs w:val="21"/>
        </w:rPr>
        <w:t>真菌毒素检测技术交流QQ群：493709339</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Arial">
    <w:panose1 w:val="020B0604020202020204"/>
    <w:charset w:val="00"/>
    <w:family w:val="auto"/>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30D27"/>
    <w:multiLevelType w:val="multilevel"/>
    <w:tmpl w:val="0F530D2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B430498"/>
    <w:multiLevelType w:val="multilevel"/>
    <w:tmpl w:val="1B430498"/>
    <w:lvl w:ilvl="0" w:tentative="0">
      <w:start w:val="1"/>
      <w:numFmt w:val="decimal"/>
      <w:lvlText w:val="%1."/>
      <w:lvlJc w:val="left"/>
      <w:pPr>
        <w:ind w:left="425" w:hanging="425"/>
      </w:pPr>
      <w:rPr>
        <w:rFonts w:hint="eastAsia"/>
      </w:rPr>
    </w:lvl>
    <w:lvl w:ilvl="1" w:tentative="0">
      <w:start w:val="1"/>
      <w:numFmt w:val="decimal"/>
      <w:lvlText w:val="3.%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54B27021"/>
    <w:multiLevelType w:val="multilevel"/>
    <w:tmpl w:val="54B27021"/>
    <w:lvl w:ilvl="0" w:tentative="0">
      <w:start w:val="1"/>
      <w:numFmt w:val="decimal"/>
      <w:lvlText w:val="%1、"/>
      <w:lvlJc w:val="left"/>
      <w:pPr>
        <w:ind w:left="786" w:hanging="360"/>
      </w:pPr>
      <w:rPr>
        <w:rFonts w:hint="default"/>
        <w:b w:val="0"/>
        <w:color w:val="auto"/>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
    <w:nsid w:val="59C86291"/>
    <w:multiLevelType w:val="singleLevel"/>
    <w:tmpl w:val="59C86291"/>
    <w:lvl w:ilvl="0" w:tentative="0">
      <w:start w:val="1"/>
      <w:numFmt w:val="chineseCounting"/>
      <w:suff w:val="nothing"/>
      <w:lvlText w:val="%1、"/>
      <w:lvlJc w:val="left"/>
      <w:pPr>
        <w:ind w:left="0" w:leftChars="0" w:firstLine="420" w:firstLineChars="0"/>
      </w:pPr>
      <w:rPr>
        <w:rFonts w:hint="eastAsia"/>
      </w:rPr>
    </w:lvl>
  </w:abstractNum>
  <w:abstractNum w:abstractNumId="4">
    <w:nsid w:val="72D231DB"/>
    <w:multiLevelType w:val="multilevel"/>
    <w:tmpl w:val="72D231DB"/>
    <w:lvl w:ilvl="0" w:tentative="0">
      <w:start w:val="1"/>
      <w:numFmt w:val="decimal"/>
      <w:lvlText w:val="%1、"/>
      <w:lvlJc w:val="left"/>
      <w:pPr>
        <w:ind w:left="786" w:hanging="360"/>
      </w:pPr>
      <w:rPr>
        <w:rFonts w:hint="default"/>
        <w:b w:val="0"/>
        <w:color w:val="auto"/>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B4EA3"/>
    <w:rsid w:val="0AD662A0"/>
    <w:rsid w:val="11D00BAA"/>
    <w:rsid w:val="154A67C9"/>
    <w:rsid w:val="1927622D"/>
    <w:rsid w:val="21B74254"/>
    <w:rsid w:val="2450148A"/>
    <w:rsid w:val="276A69C5"/>
    <w:rsid w:val="31451327"/>
    <w:rsid w:val="368E3D75"/>
    <w:rsid w:val="37E22EF6"/>
    <w:rsid w:val="3C5925A8"/>
    <w:rsid w:val="404C7DAE"/>
    <w:rsid w:val="45247FF2"/>
    <w:rsid w:val="4B5B2B69"/>
    <w:rsid w:val="50DE2B56"/>
    <w:rsid w:val="51402CC5"/>
    <w:rsid w:val="563B0DF6"/>
    <w:rsid w:val="56641466"/>
    <w:rsid w:val="5B421208"/>
    <w:rsid w:val="62405455"/>
    <w:rsid w:val="63DD1B67"/>
    <w:rsid w:val="69D45D31"/>
    <w:rsid w:val="6E4259B3"/>
    <w:rsid w:val="7178322B"/>
    <w:rsid w:val="79574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character" w:styleId="3">
    <w:name w:val="Strong"/>
    <w:basedOn w:val="2"/>
    <w:qFormat/>
    <w:uiPriority w:val="0"/>
    <w:rPr>
      <w:b/>
    </w:rPr>
  </w:style>
  <w:style w:type="character" w:styleId="4">
    <w:name w:val="Hyperlink"/>
    <w:basedOn w:val="2"/>
    <w:qFormat/>
    <w:uiPriority w:val="0"/>
    <w:rPr>
      <w:color w:val="0000FF"/>
      <w:u w:val="single"/>
    </w:rPr>
  </w:style>
  <w:style w:type="table" w:styleId="6">
    <w:name w:val="Light Shading"/>
    <w:basedOn w:val="5"/>
    <w:uiPriority w:val="60"/>
    <w:rPr>
      <w:color w:val="000000" w:themeColor="text1" w:themeShade="BF"/>
    </w:rPr>
    <w:tblPr>
      <w:tblBorders>
        <w:top w:val="single" w:color="000000" w:themeColor="text1" w:sz="8" w:space="0"/>
        <w:bottom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blLayout w:type="fixed"/>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BFBFBF" w:themeFill="text1" w:themeFillTint="3F"/>
      </w:tcPr>
    </w:tblStylePr>
    <w:tblStylePr w:type="band1Horz">
      <w:tblPr>
        <w:tblLayout w:type="fixed"/>
      </w:tblPr>
      <w:tcPr>
        <w:tcBorders>
          <w:left w:val="nil"/>
          <w:right w:val="nil"/>
          <w:insideH w:val="nil"/>
          <w:insideV w:val="nil"/>
        </w:tcBorders>
        <w:shd w:val="clear" w:color="auto" w:fill="BFBFBF" w:themeFill="text1" w:themeFillTint="3F"/>
      </w:tcPr>
    </w:tblStylePr>
  </w:style>
  <w:style w:type="paragraph" w:customStyle="1" w:styleId="7">
    <w:name w:val="List Paragraph"/>
    <w:basedOn w:val="1"/>
    <w:qFormat/>
    <w:uiPriority w:val="34"/>
    <w:pPr>
      <w:ind w:firstLine="420" w:firstLineChars="200"/>
    </w:pPr>
  </w:style>
  <w:style w:type="table" w:customStyle="1" w:styleId="8">
    <w:name w:val="浅色底纹1"/>
    <w:basedOn w:val="5"/>
    <w:qFormat/>
    <w:uiPriority w:val="60"/>
    <w:rPr>
      <w:color w:val="000000" w:themeColor="text1" w:themeShade="BF"/>
    </w:rPr>
    <w:tblPr>
      <w:tblBorders>
        <w:top w:val="single" w:color="000000" w:themeColor="text1" w:sz="8" w:space="0"/>
        <w:bottom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microdetection</dc:creator>
  <cp:lastModifiedBy>microdetection</cp:lastModifiedBy>
  <dcterms:modified xsi:type="dcterms:W3CDTF">2017-09-26T03:21:03Z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